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b/>
          <w:color w:val="auto"/>
          <w:sz w:val="52"/>
          <w:szCs w:val="52"/>
          <w:highlight w:val="none"/>
        </w:rPr>
      </w:pPr>
    </w:p>
    <w:p>
      <w:pPr>
        <w:spacing w:line="360" w:lineRule="auto"/>
        <w:jc w:val="center"/>
        <w:rPr>
          <w:b/>
          <w:color w:val="auto"/>
          <w:sz w:val="52"/>
          <w:szCs w:val="52"/>
          <w:highlight w:val="none"/>
        </w:rPr>
      </w:pPr>
      <w:r>
        <w:rPr>
          <w:rFonts w:hAnsi="宋体"/>
          <w:b/>
          <w:color w:val="auto"/>
          <w:sz w:val="52"/>
          <w:szCs w:val="52"/>
          <w:highlight w:val="none"/>
        </w:rPr>
        <w:t>招标代理服务</w:t>
      </w:r>
      <w:r>
        <w:rPr>
          <w:rFonts w:hint="eastAsia" w:hAnsi="宋体"/>
          <w:b/>
          <w:color w:val="auto"/>
          <w:sz w:val="52"/>
          <w:szCs w:val="52"/>
          <w:highlight w:val="none"/>
        </w:rPr>
        <w:t>遴选</w:t>
      </w:r>
      <w:r>
        <w:rPr>
          <w:rFonts w:hAnsi="宋体"/>
          <w:b/>
          <w:color w:val="auto"/>
          <w:sz w:val="52"/>
          <w:szCs w:val="52"/>
          <w:highlight w:val="none"/>
        </w:rPr>
        <w:t>文件</w:t>
      </w:r>
    </w:p>
    <w:p>
      <w:pPr>
        <w:spacing w:line="720" w:lineRule="auto"/>
        <w:ind w:firstLine="1417" w:firstLineChars="392"/>
        <w:rPr>
          <w:b/>
          <w:color w:val="auto"/>
          <w:sz w:val="36"/>
          <w:szCs w:val="36"/>
          <w:highlight w:val="none"/>
        </w:rPr>
      </w:pPr>
      <w:bookmarkStart w:id="1" w:name="_GoBack"/>
      <w:bookmarkEnd w:id="1"/>
    </w:p>
    <w:p>
      <w:pPr>
        <w:spacing w:line="720" w:lineRule="auto"/>
        <w:ind w:firstLine="1417" w:firstLineChars="392"/>
        <w:rPr>
          <w:b/>
          <w:color w:val="auto"/>
          <w:sz w:val="36"/>
          <w:szCs w:val="36"/>
          <w:highlight w:val="none"/>
        </w:rPr>
      </w:pPr>
    </w:p>
    <w:p>
      <w:pPr>
        <w:spacing w:line="720" w:lineRule="auto"/>
        <w:ind w:left="1899" w:leftChars="47" w:right="111" w:rightChars="53" w:hanging="1800" w:hangingChars="500"/>
        <w:rPr>
          <w:color w:val="auto"/>
          <w:sz w:val="32"/>
          <w:szCs w:val="32"/>
          <w:highlight w:val="none"/>
        </w:rPr>
      </w:pPr>
      <w:r>
        <w:rPr>
          <w:rFonts w:hAnsi="宋体"/>
          <w:color w:val="auto"/>
          <w:sz w:val="36"/>
          <w:szCs w:val="36"/>
          <w:highlight w:val="none"/>
        </w:rPr>
        <w:t>项目名称：</w:t>
      </w:r>
      <w:r>
        <w:rPr>
          <w:rFonts w:hint="eastAsia" w:hAnsi="宋体"/>
          <w:color w:val="auto"/>
          <w:sz w:val="36"/>
          <w:szCs w:val="36"/>
          <w:highlight w:val="none"/>
        </w:rPr>
        <w:t>永嘉县医疗卫生服务能力保障提升项目（人民医院迁建工程）</w:t>
      </w:r>
      <w:r>
        <w:rPr>
          <w:rFonts w:hAnsi="宋体"/>
          <w:color w:val="auto"/>
          <w:sz w:val="36"/>
          <w:szCs w:val="36"/>
          <w:highlight w:val="none"/>
        </w:rPr>
        <w:t>招标代理</w:t>
      </w:r>
      <w:r>
        <w:rPr>
          <w:rFonts w:hint="eastAsia" w:hAnsi="宋体"/>
          <w:color w:val="auto"/>
          <w:sz w:val="36"/>
          <w:szCs w:val="36"/>
          <w:highlight w:val="none"/>
        </w:rPr>
        <w:t>机构遴选</w:t>
      </w:r>
    </w:p>
    <w:p>
      <w:pPr>
        <w:spacing w:line="360" w:lineRule="auto"/>
        <w:rPr>
          <w:color w:val="auto"/>
          <w:sz w:val="32"/>
          <w:szCs w:val="32"/>
          <w:highlight w:val="none"/>
        </w:rPr>
      </w:pPr>
    </w:p>
    <w:p>
      <w:pPr>
        <w:spacing w:line="360" w:lineRule="auto"/>
        <w:rPr>
          <w:color w:val="auto"/>
          <w:sz w:val="32"/>
          <w:szCs w:val="32"/>
          <w:highlight w:val="none"/>
        </w:rPr>
      </w:pPr>
    </w:p>
    <w:p>
      <w:pPr>
        <w:spacing w:line="360" w:lineRule="auto"/>
        <w:rPr>
          <w:color w:val="auto"/>
          <w:sz w:val="32"/>
          <w:szCs w:val="32"/>
          <w:highlight w:val="none"/>
        </w:rPr>
      </w:pPr>
    </w:p>
    <w:p>
      <w:pPr>
        <w:spacing w:line="360" w:lineRule="auto"/>
        <w:rPr>
          <w:color w:val="auto"/>
          <w:sz w:val="32"/>
          <w:szCs w:val="32"/>
          <w:highlight w:val="none"/>
        </w:rPr>
      </w:pPr>
    </w:p>
    <w:p>
      <w:pPr>
        <w:pStyle w:val="2"/>
        <w:rPr>
          <w:color w:val="auto"/>
          <w:sz w:val="32"/>
          <w:szCs w:val="32"/>
          <w:highlight w:val="none"/>
        </w:rPr>
      </w:pPr>
    </w:p>
    <w:p>
      <w:pPr>
        <w:pStyle w:val="3"/>
        <w:rPr>
          <w:color w:val="auto"/>
          <w:highlight w:val="none"/>
        </w:rPr>
      </w:pPr>
    </w:p>
    <w:p>
      <w:pPr>
        <w:spacing w:line="360" w:lineRule="auto"/>
        <w:rPr>
          <w:color w:val="auto"/>
          <w:sz w:val="32"/>
          <w:szCs w:val="32"/>
          <w:highlight w:val="none"/>
        </w:rPr>
      </w:pPr>
    </w:p>
    <w:p>
      <w:pPr>
        <w:spacing w:line="360" w:lineRule="auto"/>
        <w:jc w:val="center"/>
        <w:rPr>
          <w:color w:val="auto"/>
          <w:sz w:val="36"/>
          <w:szCs w:val="36"/>
          <w:highlight w:val="none"/>
        </w:rPr>
      </w:pPr>
      <w:r>
        <w:rPr>
          <w:rFonts w:hint="eastAsia" w:hAnsi="宋体"/>
          <w:color w:val="auto"/>
          <w:sz w:val="36"/>
          <w:szCs w:val="36"/>
          <w:highlight w:val="none"/>
          <w:lang w:eastAsia="zh-CN"/>
        </w:rPr>
        <w:t>永嘉县人民医院</w:t>
      </w:r>
    </w:p>
    <w:p>
      <w:pPr>
        <w:spacing w:line="360" w:lineRule="auto"/>
        <w:jc w:val="center"/>
        <w:rPr>
          <w:color w:val="auto"/>
          <w:sz w:val="32"/>
          <w:szCs w:val="32"/>
          <w:highlight w:val="none"/>
        </w:rPr>
      </w:pPr>
      <w:r>
        <w:rPr>
          <w:color w:val="auto"/>
          <w:sz w:val="36"/>
          <w:szCs w:val="36"/>
          <w:highlight w:val="none"/>
        </w:rPr>
        <w:t>2022年</w:t>
      </w:r>
      <w:r>
        <w:rPr>
          <w:rFonts w:hint="eastAsia"/>
          <w:color w:val="auto"/>
          <w:sz w:val="36"/>
          <w:szCs w:val="36"/>
          <w:highlight w:val="none"/>
          <w:lang w:val="en-US" w:eastAsia="zh-CN"/>
        </w:rPr>
        <w:t>6</w:t>
      </w:r>
      <w:r>
        <w:rPr>
          <w:color w:val="auto"/>
          <w:sz w:val="36"/>
          <w:szCs w:val="36"/>
          <w:highlight w:val="none"/>
        </w:rPr>
        <w:t>月</w:t>
      </w:r>
    </w:p>
    <w:p>
      <w:pPr>
        <w:spacing w:line="360" w:lineRule="auto"/>
        <w:jc w:val="center"/>
        <w:rPr>
          <w:color w:val="auto"/>
          <w:sz w:val="32"/>
          <w:szCs w:val="32"/>
          <w:highlight w:val="none"/>
        </w:rPr>
      </w:pPr>
    </w:p>
    <w:p>
      <w:pPr>
        <w:pStyle w:val="7"/>
        <w:spacing w:line="360" w:lineRule="auto"/>
        <w:ind w:left="210" w:leftChars="100"/>
        <w:jc w:val="center"/>
        <w:rPr>
          <w:rFonts w:ascii="Times New Roman" w:eastAsia="宋体"/>
          <w:color w:val="auto"/>
          <w:sz w:val="48"/>
          <w:highlight w:val="none"/>
        </w:rPr>
      </w:pPr>
      <w:r>
        <w:rPr>
          <w:rFonts w:ascii="Times New Roman" w:eastAsia="宋体"/>
          <w:color w:val="auto"/>
          <w:highlight w:val="none"/>
        </w:rPr>
        <w:br w:type="page"/>
      </w:r>
      <w:r>
        <w:rPr>
          <w:rFonts w:ascii="Times New Roman" w:hAnsi="宋体" w:eastAsia="宋体"/>
          <w:color w:val="auto"/>
          <w:highlight w:val="none"/>
        </w:rPr>
        <w:t>目录</w:t>
      </w:r>
    </w:p>
    <w:p>
      <w:pPr>
        <w:spacing w:line="360" w:lineRule="auto"/>
        <w:rPr>
          <w:bCs/>
          <w:color w:val="auto"/>
          <w:sz w:val="32"/>
          <w:szCs w:val="36"/>
          <w:highlight w:val="none"/>
        </w:rPr>
      </w:pPr>
    </w:p>
    <w:p>
      <w:pPr>
        <w:spacing w:line="360" w:lineRule="auto"/>
        <w:rPr>
          <w:bCs/>
          <w:color w:val="auto"/>
          <w:sz w:val="32"/>
          <w:szCs w:val="36"/>
          <w:highlight w:val="none"/>
        </w:rPr>
      </w:pPr>
      <w:r>
        <w:rPr>
          <w:rFonts w:hAnsi="宋体"/>
          <w:bCs/>
          <w:color w:val="auto"/>
          <w:sz w:val="32"/>
          <w:szCs w:val="36"/>
          <w:highlight w:val="none"/>
        </w:rPr>
        <w:t>第一章</w:t>
      </w:r>
      <w:r>
        <w:rPr>
          <w:rFonts w:hint="eastAsia" w:hAnsi="宋体"/>
          <w:bCs/>
          <w:color w:val="auto"/>
          <w:sz w:val="32"/>
          <w:szCs w:val="36"/>
          <w:highlight w:val="none"/>
          <w:lang w:val="en-US" w:eastAsia="zh-CN"/>
        </w:rPr>
        <w:t xml:space="preserve"> </w:t>
      </w:r>
      <w:r>
        <w:rPr>
          <w:rFonts w:hint="eastAsia" w:hAnsi="宋体"/>
          <w:bCs/>
          <w:color w:val="auto"/>
          <w:sz w:val="32"/>
          <w:szCs w:val="36"/>
          <w:highlight w:val="none"/>
        </w:rPr>
        <w:t>遴选</w:t>
      </w:r>
      <w:r>
        <w:rPr>
          <w:rFonts w:hAnsi="宋体"/>
          <w:bCs/>
          <w:color w:val="auto"/>
          <w:sz w:val="32"/>
          <w:szCs w:val="36"/>
          <w:highlight w:val="none"/>
        </w:rPr>
        <w:t>公告</w:t>
      </w:r>
      <w:r>
        <w:rPr>
          <w:color w:val="auto"/>
          <w:sz w:val="32"/>
          <w:highlight w:val="none"/>
        </w:rPr>
        <w:t xml:space="preserve">……………………………………… </w:t>
      </w:r>
    </w:p>
    <w:p>
      <w:pPr>
        <w:spacing w:line="360" w:lineRule="auto"/>
        <w:rPr>
          <w:bCs/>
          <w:color w:val="auto"/>
          <w:sz w:val="32"/>
          <w:szCs w:val="36"/>
          <w:highlight w:val="none"/>
        </w:rPr>
      </w:pPr>
    </w:p>
    <w:p>
      <w:pPr>
        <w:spacing w:line="360" w:lineRule="auto"/>
        <w:rPr>
          <w:bCs/>
          <w:color w:val="auto"/>
          <w:sz w:val="32"/>
          <w:szCs w:val="36"/>
          <w:highlight w:val="none"/>
        </w:rPr>
      </w:pPr>
      <w:r>
        <w:rPr>
          <w:rFonts w:hAnsi="宋体"/>
          <w:bCs/>
          <w:color w:val="auto"/>
          <w:sz w:val="32"/>
          <w:szCs w:val="36"/>
          <w:highlight w:val="none"/>
        </w:rPr>
        <w:t>第二章</w:t>
      </w:r>
      <w:r>
        <w:rPr>
          <w:rFonts w:hint="eastAsia" w:hAnsi="宋体"/>
          <w:bCs/>
          <w:color w:val="auto"/>
          <w:sz w:val="32"/>
          <w:szCs w:val="36"/>
          <w:highlight w:val="none"/>
          <w:lang w:val="en-US" w:eastAsia="zh-CN"/>
        </w:rPr>
        <w:t xml:space="preserve"> </w:t>
      </w:r>
      <w:r>
        <w:rPr>
          <w:rFonts w:hint="eastAsia" w:hAnsi="宋体"/>
          <w:bCs/>
          <w:color w:val="auto"/>
          <w:sz w:val="32"/>
          <w:szCs w:val="36"/>
          <w:highlight w:val="none"/>
        </w:rPr>
        <w:t>遴选文件要求和</w:t>
      </w:r>
      <w:r>
        <w:rPr>
          <w:rFonts w:hAnsi="宋体"/>
          <w:bCs/>
          <w:color w:val="auto"/>
          <w:sz w:val="32"/>
          <w:szCs w:val="36"/>
          <w:highlight w:val="none"/>
        </w:rPr>
        <w:t>须知</w:t>
      </w:r>
      <w:r>
        <w:rPr>
          <w:color w:val="auto"/>
          <w:sz w:val="32"/>
          <w:highlight w:val="none"/>
        </w:rPr>
        <w:t xml:space="preserve">………………………… </w:t>
      </w:r>
    </w:p>
    <w:p>
      <w:pPr>
        <w:spacing w:line="360" w:lineRule="auto"/>
        <w:rPr>
          <w:bCs/>
          <w:color w:val="auto"/>
          <w:sz w:val="32"/>
          <w:highlight w:val="none"/>
        </w:rPr>
      </w:pPr>
    </w:p>
    <w:p>
      <w:pPr>
        <w:spacing w:line="360" w:lineRule="auto"/>
        <w:rPr>
          <w:bCs/>
          <w:color w:val="auto"/>
          <w:sz w:val="32"/>
          <w:highlight w:val="none"/>
        </w:rPr>
      </w:pPr>
      <w:r>
        <w:rPr>
          <w:rFonts w:hAnsi="宋体"/>
          <w:bCs/>
          <w:color w:val="auto"/>
          <w:sz w:val="32"/>
          <w:highlight w:val="none"/>
        </w:rPr>
        <w:t>第三章</w:t>
      </w:r>
      <w:r>
        <w:rPr>
          <w:rFonts w:hint="eastAsia" w:hAnsi="宋体"/>
          <w:bCs/>
          <w:color w:val="auto"/>
          <w:sz w:val="32"/>
          <w:highlight w:val="none"/>
          <w:lang w:val="en-US" w:eastAsia="zh-CN"/>
        </w:rPr>
        <w:t xml:space="preserve"> </w:t>
      </w:r>
      <w:r>
        <w:rPr>
          <w:rFonts w:hint="eastAsia"/>
          <w:color w:val="auto"/>
          <w:sz w:val="32"/>
          <w:highlight w:val="none"/>
        </w:rPr>
        <w:t>评定内容及</w:t>
      </w:r>
      <w:r>
        <w:rPr>
          <w:rFonts w:hAnsi="宋体"/>
          <w:color w:val="auto"/>
          <w:sz w:val="32"/>
          <w:highlight w:val="none"/>
        </w:rPr>
        <w:t>评标标准</w:t>
      </w:r>
      <w:r>
        <w:rPr>
          <w:color w:val="auto"/>
          <w:sz w:val="32"/>
          <w:highlight w:val="none"/>
        </w:rPr>
        <w:t>…………………………</w:t>
      </w:r>
    </w:p>
    <w:p>
      <w:pPr>
        <w:spacing w:line="360" w:lineRule="auto"/>
        <w:rPr>
          <w:bCs/>
          <w:color w:val="auto"/>
          <w:sz w:val="32"/>
          <w:highlight w:val="none"/>
        </w:rPr>
      </w:pPr>
    </w:p>
    <w:p>
      <w:pPr>
        <w:spacing w:line="360" w:lineRule="auto"/>
        <w:rPr>
          <w:color w:val="auto"/>
          <w:sz w:val="32"/>
          <w:highlight w:val="none"/>
        </w:rPr>
      </w:pPr>
      <w:r>
        <w:rPr>
          <w:rFonts w:hAnsi="宋体"/>
          <w:bCs/>
          <w:color w:val="auto"/>
          <w:sz w:val="32"/>
          <w:highlight w:val="none"/>
        </w:rPr>
        <w:t>第</w:t>
      </w:r>
      <w:r>
        <w:rPr>
          <w:rFonts w:hint="eastAsia" w:hAnsi="宋体"/>
          <w:bCs/>
          <w:color w:val="auto"/>
          <w:sz w:val="32"/>
          <w:highlight w:val="none"/>
        </w:rPr>
        <w:t>四</w:t>
      </w:r>
      <w:r>
        <w:rPr>
          <w:rFonts w:hAnsi="宋体"/>
          <w:bCs/>
          <w:color w:val="auto"/>
          <w:sz w:val="32"/>
          <w:highlight w:val="none"/>
        </w:rPr>
        <w:t>章</w:t>
      </w:r>
      <w:r>
        <w:rPr>
          <w:rFonts w:hint="eastAsia" w:hAnsi="宋体"/>
          <w:bCs/>
          <w:color w:val="auto"/>
          <w:sz w:val="32"/>
          <w:highlight w:val="none"/>
          <w:lang w:val="en-US" w:eastAsia="zh-CN"/>
        </w:rPr>
        <w:t xml:space="preserve"> </w:t>
      </w:r>
      <w:r>
        <w:rPr>
          <w:rFonts w:hint="eastAsia"/>
          <w:color w:val="auto"/>
          <w:sz w:val="32"/>
          <w:highlight w:val="none"/>
        </w:rPr>
        <w:t>遴选代理商</w:t>
      </w:r>
      <w:r>
        <w:rPr>
          <w:color w:val="auto"/>
          <w:sz w:val="32"/>
          <w:highlight w:val="none"/>
        </w:rPr>
        <w:t>的服务</w:t>
      </w:r>
      <w:r>
        <w:rPr>
          <w:rFonts w:hint="eastAsia"/>
          <w:color w:val="auto"/>
          <w:sz w:val="32"/>
          <w:highlight w:val="none"/>
        </w:rPr>
        <w:t>要求</w:t>
      </w:r>
      <w:r>
        <w:rPr>
          <w:color w:val="auto"/>
          <w:sz w:val="32"/>
          <w:highlight w:val="none"/>
        </w:rPr>
        <w:t>………………………</w:t>
      </w:r>
    </w:p>
    <w:p>
      <w:pPr>
        <w:spacing w:line="360" w:lineRule="auto"/>
        <w:rPr>
          <w:color w:val="auto"/>
          <w:highlight w:val="none"/>
        </w:rPr>
      </w:pPr>
    </w:p>
    <w:p>
      <w:pPr>
        <w:spacing w:line="360" w:lineRule="auto"/>
        <w:rPr>
          <w:bCs/>
          <w:color w:val="auto"/>
          <w:sz w:val="32"/>
          <w:highlight w:val="none"/>
        </w:rPr>
      </w:pPr>
      <w:r>
        <w:rPr>
          <w:rFonts w:hAnsi="宋体"/>
          <w:bCs/>
          <w:color w:val="auto"/>
          <w:sz w:val="32"/>
          <w:highlight w:val="none"/>
        </w:rPr>
        <w:t>第</w:t>
      </w:r>
      <w:r>
        <w:rPr>
          <w:rFonts w:hint="eastAsia" w:hAnsi="宋体"/>
          <w:bCs/>
          <w:color w:val="auto"/>
          <w:sz w:val="32"/>
          <w:highlight w:val="none"/>
        </w:rPr>
        <w:t>五</w:t>
      </w:r>
      <w:r>
        <w:rPr>
          <w:rFonts w:hAnsi="宋体"/>
          <w:bCs/>
          <w:color w:val="auto"/>
          <w:sz w:val="32"/>
          <w:highlight w:val="none"/>
        </w:rPr>
        <w:t>章</w:t>
      </w:r>
      <w:r>
        <w:rPr>
          <w:rFonts w:hint="eastAsia" w:hAnsi="宋体"/>
          <w:bCs/>
          <w:color w:val="auto"/>
          <w:sz w:val="32"/>
          <w:highlight w:val="none"/>
          <w:lang w:val="en-US" w:eastAsia="zh-CN"/>
        </w:rPr>
        <w:t xml:space="preserve"> </w:t>
      </w:r>
      <w:r>
        <w:rPr>
          <w:rFonts w:hAnsi="宋体"/>
          <w:bCs/>
          <w:color w:val="auto"/>
          <w:sz w:val="32"/>
          <w:highlight w:val="none"/>
        </w:rPr>
        <w:t>合同主要条款</w:t>
      </w:r>
      <w:r>
        <w:rPr>
          <w:color w:val="auto"/>
          <w:sz w:val="32"/>
          <w:highlight w:val="none"/>
        </w:rPr>
        <w:t>…………………………………</w:t>
      </w:r>
    </w:p>
    <w:p>
      <w:pPr>
        <w:spacing w:line="360" w:lineRule="auto"/>
        <w:rPr>
          <w:rFonts w:hAnsi="宋体"/>
          <w:bCs/>
          <w:color w:val="auto"/>
          <w:sz w:val="32"/>
          <w:highlight w:val="none"/>
        </w:rPr>
      </w:pPr>
    </w:p>
    <w:p>
      <w:pPr>
        <w:spacing w:line="360" w:lineRule="auto"/>
        <w:rPr>
          <w:color w:val="auto"/>
          <w:sz w:val="28"/>
          <w:highlight w:val="none"/>
        </w:rPr>
      </w:pPr>
      <w:r>
        <w:rPr>
          <w:rFonts w:hint="eastAsia" w:hAnsi="宋体"/>
          <w:bCs/>
          <w:color w:val="auto"/>
          <w:sz w:val="32"/>
          <w:highlight w:val="none"/>
          <w:lang w:eastAsia="zh-CN"/>
        </w:rPr>
        <w:t>第六章</w:t>
      </w:r>
      <w:r>
        <w:rPr>
          <w:rFonts w:hint="eastAsia" w:hAnsi="宋体"/>
          <w:bCs/>
          <w:color w:val="auto"/>
          <w:sz w:val="32"/>
          <w:highlight w:val="none"/>
          <w:lang w:val="en-US" w:eastAsia="zh-CN"/>
        </w:rPr>
        <w:t xml:space="preserve"> </w:t>
      </w:r>
      <w:r>
        <w:rPr>
          <w:rFonts w:hAnsi="宋体"/>
          <w:bCs/>
          <w:color w:val="auto"/>
          <w:sz w:val="32"/>
          <w:highlight w:val="none"/>
        </w:rPr>
        <w:t>附件</w:t>
      </w:r>
      <w:r>
        <w:rPr>
          <w:color w:val="auto"/>
          <w:sz w:val="32"/>
          <w:highlight w:val="none"/>
        </w:rPr>
        <w:t>……………………………………………</w:t>
      </w:r>
    </w:p>
    <w:p>
      <w:pPr>
        <w:tabs>
          <w:tab w:val="left" w:pos="7200"/>
        </w:tabs>
        <w:spacing w:line="360" w:lineRule="auto"/>
        <w:rPr>
          <w:bCs/>
          <w:color w:val="auto"/>
          <w:sz w:val="32"/>
          <w:highlight w:val="none"/>
        </w:rPr>
      </w:pPr>
    </w:p>
    <w:p>
      <w:pPr>
        <w:spacing w:line="360" w:lineRule="auto"/>
        <w:jc w:val="center"/>
        <w:rPr>
          <w:b/>
          <w:color w:val="auto"/>
          <w:sz w:val="24"/>
          <w:highlight w:val="none"/>
        </w:rPr>
      </w:pPr>
      <w:bookmarkStart w:id="0" w:name="_Toc93375285"/>
      <w:r>
        <w:rPr>
          <w:b/>
          <w:color w:val="auto"/>
          <w:sz w:val="32"/>
          <w:szCs w:val="32"/>
          <w:highlight w:val="none"/>
        </w:rPr>
        <w:br w:type="page"/>
      </w:r>
      <w:r>
        <w:rPr>
          <w:rFonts w:hAnsi="宋体"/>
          <w:b/>
          <w:color w:val="auto"/>
          <w:sz w:val="32"/>
          <w:szCs w:val="32"/>
          <w:highlight w:val="none"/>
        </w:rPr>
        <w:t>第一章</w:t>
      </w:r>
      <w:r>
        <w:rPr>
          <w:rFonts w:hint="eastAsia" w:hAnsi="宋体"/>
          <w:b/>
          <w:color w:val="auto"/>
          <w:sz w:val="32"/>
          <w:szCs w:val="32"/>
          <w:highlight w:val="none"/>
          <w:lang w:val="en-US" w:eastAsia="zh-CN"/>
        </w:rPr>
        <w:t xml:space="preserve">    </w:t>
      </w:r>
      <w:r>
        <w:rPr>
          <w:rFonts w:hint="eastAsia" w:hAnsi="宋体"/>
          <w:b/>
          <w:color w:val="auto"/>
          <w:sz w:val="32"/>
          <w:szCs w:val="32"/>
          <w:highlight w:val="none"/>
        </w:rPr>
        <w:t>遴选</w:t>
      </w:r>
      <w:r>
        <w:rPr>
          <w:rFonts w:hAnsi="宋体"/>
          <w:b/>
          <w:color w:val="auto"/>
          <w:sz w:val="32"/>
          <w:szCs w:val="32"/>
          <w:highlight w:val="none"/>
        </w:rPr>
        <w:t>公告</w:t>
      </w:r>
    </w:p>
    <w:bookmarkEnd w:id="0"/>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根据有关规定，</w:t>
      </w:r>
      <w:r>
        <w:rPr>
          <w:rFonts w:hint="eastAsia" w:ascii="宋体" w:hAnsi="宋体" w:eastAsia="宋体" w:cs="宋体"/>
          <w:color w:val="auto"/>
          <w:sz w:val="24"/>
          <w:szCs w:val="24"/>
          <w:highlight w:val="none"/>
          <w:lang w:val="en-US" w:eastAsia="zh-CN"/>
        </w:rPr>
        <w:t>现</w:t>
      </w:r>
      <w:r>
        <w:rPr>
          <w:rFonts w:hint="eastAsia" w:ascii="宋体" w:hAnsi="宋体" w:eastAsia="宋体" w:cs="宋体"/>
          <w:color w:val="auto"/>
          <w:sz w:val="24"/>
          <w:szCs w:val="24"/>
          <w:highlight w:val="none"/>
        </w:rPr>
        <w:t>拟对永嘉县医疗卫生服务能力保障提升项目（人民医院迁建工程）招标代理机构遴选招标事宜，对招标代理公司进行公开遴选，欢迎合格的招标代理机构报名参加。</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rPr>
        <w:t>项目名称：永嘉县医疗卫生服务能力保障提升项目（人民医院迁建工程）招标代理机构遴选。</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（二）遴选内容：拟公开遴选</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家</w:t>
      </w:r>
      <w:r>
        <w:rPr>
          <w:rFonts w:hint="eastAsia" w:ascii="宋体" w:hAnsi="宋体" w:eastAsia="宋体" w:cs="宋体"/>
          <w:color w:val="auto"/>
          <w:sz w:val="24"/>
          <w:szCs w:val="24"/>
          <w:highlight w:val="none"/>
        </w:rPr>
        <w:t>招标代理机构，代理</w:t>
      </w:r>
      <w:r>
        <w:rPr>
          <w:rFonts w:hint="eastAsia" w:ascii="宋体" w:hAnsi="宋体" w:eastAsia="宋体" w:cs="宋体"/>
          <w:color w:val="auto"/>
          <w:sz w:val="24"/>
          <w:szCs w:val="24"/>
          <w:highlight w:val="none"/>
        </w:rPr>
        <w:t>永嘉县医疗卫生服务能力保障提升项目（人民医院迁建工程）</w:t>
      </w:r>
      <w:r>
        <w:rPr>
          <w:rFonts w:hint="eastAsia" w:ascii="宋体" w:hAnsi="宋体" w:eastAsia="宋体" w:cs="宋体"/>
          <w:color w:val="auto"/>
          <w:sz w:val="24"/>
          <w:szCs w:val="24"/>
          <w:highlight w:val="none"/>
        </w:rPr>
        <w:t>的招标。</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（三）服务期限：本项目服务期限参照《浙江省财政厅关于进一步规范政府购买服务采购管理的通知》（浙财采监[2021]2号）文件要求，合同履行期限为</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年，如遇国家或上级部门招标相关政策抵触，该合同自行终止。</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（四）招标代理服务范围：</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括但不限于：接受招标人委托，从事编制招标文件（包括编制资格预审文件），审查投标人资格，组织投标人踏勘现场并答疑，组织招标文件论证、组织开标、评标、定标，以及提供招标前期咨询、协调合同的签订及备案、提供招标前期进口申报论证和参数论证，向招标投标监督部门办理有关招标投标情况报告，处理投标人和其他利害关系人提出的异议，标后中标通知书发放、公示及招标资料整理、招标人委托的其他咨询服务工作等。</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（五）对招标代理机构的资格要求：</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1、符合《中华人民共和国政府采购法》投标供应商参加政府采购活动应当具备的条件；</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2、营业执照具有相应的经营范围，提供有效的营业执照、税务登记证、组织机构代码（或三证合一），委托人须携带法人授权委托书、身份证复印件；（身份证原件核查，其它复印件加盖公章）</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3、在浙江政府采购网完成政府采购代理机构网上登记并备案，具备政府采购项目代理能力；（提供网上截图加盖单位公章）</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4、在温州市行政审批与公共资源交易服务管理中心登记备案；（提供网上截图加盖单位公章）</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投标人参加政府采购活动前三年内未被列入“信用中国”网站(www.creditchina.gov.cn)失信被执行人、重大税收违法案件当事人、政府采购严重违法失信行为记录名单和“中国政府采购”网站（www.ccgp.gov.cn）政府采购严重违法失信行为记录名单（查询时间以发布招标公告之后查询结果为准，并将查询结果“截图”加盖公章附在投标文件中）；</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、符合法律、法规规定的其他条件。</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、谢绝联合体投标。</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（六）特别说明：</w:t>
      </w:r>
    </w:p>
    <w:p>
      <w:pPr>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、投标公司报价折扣上限不能超过九折</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招标人在合同期限内不保证投标人在代理采购项目数量；</w:t>
      </w:r>
      <w:r>
        <w:rPr>
          <w:rFonts w:hint="eastAsia" w:ascii="宋体" w:hAnsi="宋体" w:eastAsia="宋体" w:cs="宋体"/>
          <w:color w:val="auto"/>
          <w:sz w:val="24"/>
          <w:szCs w:val="24"/>
          <w:highlight w:val="none"/>
          <w:lang w:eastAsia="zh-CN"/>
        </w:rPr>
        <w:t>本遴选结果供医院</w:t>
      </w:r>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highlight w:val="none"/>
          <w:lang w:eastAsia="zh-CN"/>
        </w:rPr>
        <w:t>参考</w:t>
      </w:r>
      <w:r>
        <w:rPr>
          <w:rFonts w:hint="eastAsia" w:ascii="宋体" w:hAnsi="宋体" w:eastAsia="宋体" w:cs="宋体"/>
          <w:color w:val="auto"/>
          <w:sz w:val="24"/>
          <w:szCs w:val="24"/>
          <w:highlight w:val="none"/>
        </w:rPr>
        <w:t>自行选择采购代理机构，</w:t>
      </w:r>
      <w:r>
        <w:rPr>
          <w:rFonts w:hint="eastAsia" w:ascii="宋体" w:hAnsi="宋体" w:eastAsia="宋体" w:cs="宋体"/>
          <w:color w:val="auto"/>
          <w:sz w:val="24"/>
          <w:szCs w:val="24"/>
          <w:highlight w:val="none"/>
          <w:lang w:eastAsia="zh-CN"/>
        </w:rPr>
        <w:t>部分项目采购人有其他需求可以依法委托其他采购代理机构办理采购事宜的，由采购人自行与其签订委托代理协议，依法确定委托代理的事项，约定双方的权利义务</w:t>
      </w:r>
      <w:r>
        <w:rPr>
          <w:rFonts w:hint="eastAsia" w:ascii="宋体" w:hAnsi="宋体" w:eastAsia="宋体" w:cs="宋体"/>
          <w:color w:val="auto"/>
          <w:sz w:val="24"/>
          <w:szCs w:val="24"/>
          <w:highlight w:val="none"/>
        </w:rPr>
        <w:t>。</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代理机构在代理过程中业务不精通，服务水平低、质量差，医院上级主管部门要求更换的，应无条件进行更换。医院采购部门对代理机构评价差，存在诸多问题，经查证属实3次及以上，医院有权单方减少代理项目直至取消代理资格；</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、代理机构在代理过程中应严格按国家、地方相关法律、法规代理，不得随意更换项目代理人。</w:t>
      </w:r>
      <w:r>
        <w:rPr>
          <w:rFonts w:hint="eastAsia" w:ascii="宋体" w:hAnsi="宋体" w:eastAsia="宋体" w:cs="宋体"/>
          <w:color w:val="auto"/>
          <w:sz w:val="24"/>
          <w:szCs w:val="24"/>
          <w:highlight w:val="none"/>
        </w:rPr>
        <w:t>代理过程中医院要求中断或终止的，代理机构应当停止代理活动，做好资料移交，同时不得向医院要求任何补偿或赔偿；</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、代理机构在代理过程中存在违法违规违约，受到财政部门或上级主管部门查实等现象，招标人有权取消其在医院的代理资格，给招标人带来损失的应进行相应赔偿并记入黑名单，5年内不得代理招标人项目。</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（七）报名时间、地点和要求：</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报名截止时间：</w:t>
      </w:r>
      <w:r>
        <w:rPr>
          <w:rFonts w:hint="eastAsia" w:ascii="宋体" w:hAnsi="宋体" w:eastAsia="宋体" w:cs="宋体"/>
          <w:color w:val="auto"/>
          <w:sz w:val="24"/>
          <w:szCs w:val="24"/>
          <w:highlight w:val="none"/>
        </w:rPr>
        <w:t>2022年</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晚上18</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rPr>
        <w:t>。须持法定代表人授权委托书(若为法定代表人，需持法定代表人身份证明)和被委托人身份证原件以及营业执照、税务登记证、组织机构代码证或营业执照（三证合一）以及第（五）项对招标代理机构的资格要求的资质证明文件等复印件并加盖单位公章。</w:t>
      </w:r>
    </w:p>
    <w:p>
      <w:pPr>
        <w:snapToGrid w:val="0"/>
        <w:spacing w:line="360" w:lineRule="auto"/>
        <w:ind w:firstLine="480" w:firstLineChars="200"/>
        <w:rPr>
          <w:rFonts w:hint="default"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报名地点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温州市永嘉县环城北路323号</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en-US" w:eastAsia="zh-CN"/>
        </w:rPr>
        <w:t>叶光雷</w:t>
      </w:r>
      <w:r>
        <w:rPr>
          <w:rFonts w:hint="eastAsia" w:ascii="宋体" w:hAnsi="宋体" w:eastAsia="宋体" w:cs="宋体"/>
          <w:color w:val="auto"/>
          <w:sz w:val="24"/>
          <w:szCs w:val="24"/>
          <w:highlight w:val="none"/>
        </w:rPr>
        <w:t xml:space="preserve"> </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xml:space="preserve"> 0577-57762567  </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注：上述文件携带齐全且通过审查的单位方为成功报名，否则报名将被拒绝，不能参加遴选。</w:t>
      </w:r>
    </w:p>
    <w:p>
      <w:pPr>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遴选文件在</w:t>
      </w:r>
      <w:r>
        <w:rPr>
          <w:rFonts w:hint="eastAsia" w:ascii="宋体" w:hAnsi="宋体" w:eastAsia="宋体" w:cs="宋体"/>
          <w:b/>
          <w:bCs/>
          <w:color w:val="auto"/>
          <w:sz w:val="24"/>
          <w:szCs w:val="24"/>
          <w:highlight w:val="none"/>
          <w:lang w:eastAsia="zh-CN"/>
        </w:rPr>
        <w:t>永嘉县人民医院</w:t>
      </w:r>
      <w:r>
        <w:rPr>
          <w:rFonts w:hint="eastAsia" w:ascii="宋体" w:hAnsi="宋体" w:eastAsia="宋体" w:cs="宋体"/>
          <w:b/>
          <w:bCs/>
          <w:color w:val="auto"/>
          <w:sz w:val="24"/>
          <w:szCs w:val="24"/>
          <w:highlight w:val="none"/>
        </w:rPr>
        <w:t>外网免费下载。</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公开遴选时间：</w:t>
      </w:r>
      <w:r>
        <w:rPr>
          <w:rFonts w:hint="eastAsia" w:ascii="宋体" w:hAnsi="宋体" w:eastAsia="宋体" w:cs="宋体"/>
          <w:color w:val="auto"/>
          <w:sz w:val="24"/>
          <w:szCs w:val="24"/>
          <w:highlight w:val="none"/>
        </w:rPr>
        <w:t>2022年</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18</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rPr>
        <w:t>，逾期不予接收遴选投标文件。</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公开遴选地点：</w:t>
      </w:r>
      <w:r>
        <w:rPr>
          <w:rFonts w:hint="eastAsia" w:ascii="宋体" w:hAnsi="宋体" w:eastAsia="宋体" w:cs="宋体"/>
          <w:color w:val="auto"/>
          <w:sz w:val="24"/>
          <w:szCs w:val="24"/>
          <w:highlight w:val="none"/>
          <w:lang w:val="en-US" w:eastAsia="zh-CN"/>
        </w:rPr>
        <w:t>温州市永嘉县</w:t>
      </w:r>
      <w:r>
        <w:rPr>
          <w:rFonts w:hint="eastAsia" w:ascii="宋体" w:hAnsi="宋体" w:cs="宋体"/>
          <w:color w:val="auto"/>
          <w:sz w:val="24"/>
          <w:szCs w:val="24"/>
          <w:highlight w:val="none"/>
          <w:lang w:val="en-US" w:eastAsia="zh-CN"/>
        </w:rPr>
        <w:t>永中路37</w:t>
      </w:r>
      <w:r>
        <w:rPr>
          <w:rFonts w:hint="eastAsia" w:ascii="宋体" w:hAnsi="宋体" w:eastAsia="宋体" w:cs="宋体"/>
          <w:color w:val="auto"/>
          <w:sz w:val="24"/>
          <w:szCs w:val="24"/>
          <w:highlight w:val="none"/>
          <w:lang w:val="en-US" w:eastAsia="zh-CN"/>
        </w:rPr>
        <w:t>号</w:t>
      </w:r>
      <w:r>
        <w:rPr>
          <w:rFonts w:hint="eastAsia" w:ascii="宋体" w:hAnsi="宋体" w:cs="宋体"/>
          <w:color w:val="auto"/>
          <w:sz w:val="24"/>
          <w:szCs w:val="24"/>
          <w:highlight w:val="none"/>
          <w:lang w:val="en-US" w:eastAsia="zh-CN"/>
        </w:rPr>
        <w:t>行政楼4楼会议室</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八</w:t>
      </w:r>
      <w:r>
        <w:rPr>
          <w:rFonts w:hint="eastAsia" w:ascii="宋体" w:hAnsi="宋体" w:eastAsia="宋体" w:cs="宋体"/>
          <w:color w:val="auto"/>
          <w:sz w:val="24"/>
          <w:szCs w:val="24"/>
          <w:highlight w:val="none"/>
        </w:rPr>
        <w:t xml:space="preserve">）招标代理机构对本遴选公告和遴选文件有异议的，请在 </w:t>
      </w:r>
      <w:r>
        <w:rPr>
          <w:rFonts w:hint="eastAsia" w:ascii="宋体" w:hAnsi="宋体" w:eastAsia="宋体" w:cs="宋体"/>
          <w:color w:val="auto"/>
          <w:sz w:val="24"/>
          <w:szCs w:val="24"/>
          <w:highlight w:val="none"/>
        </w:rPr>
        <w:t>2022 年</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rPr>
        <w:t>前以书面形式提出，如确有与国家相关法规不一致的地方，我院将依法规进行修订，原则上我院不接受除书面以外的其他形式的投诉。未提出异议的，视为默认我院的遴选公告和遴选文件，在递交参加遴选的文件后不得对我院遴选公告和遴选文件提出异议。</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九</w:t>
      </w:r>
      <w:r>
        <w:rPr>
          <w:rFonts w:hint="eastAsia" w:ascii="宋体" w:hAnsi="宋体" w:eastAsia="宋体" w:cs="宋体"/>
          <w:color w:val="auto"/>
          <w:sz w:val="24"/>
          <w:szCs w:val="24"/>
          <w:highlight w:val="none"/>
        </w:rPr>
        <w:t>）质疑及投诉受理部门及</w:t>
      </w:r>
      <w:r>
        <w:rPr>
          <w:rFonts w:hint="eastAsia" w:ascii="宋体" w:hAnsi="宋体" w:eastAsia="宋体" w:cs="宋体"/>
          <w:color w:val="auto"/>
          <w:sz w:val="24"/>
          <w:szCs w:val="24"/>
          <w:highlight w:val="none"/>
          <w:lang w:val="en-US" w:eastAsia="zh-CN"/>
        </w:rPr>
        <w:t xml:space="preserve">监督部门：永嘉县人民医院纪检监察室 </w:t>
      </w:r>
    </w:p>
    <w:p>
      <w:pPr>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十</w:t>
      </w:r>
      <w:r>
        <w:rPr>
          <w:rFonts w:hint="eastAsia" w:ascii="宋体" w:hAnsi="宋体" w:eastAsia="宋体" w:cs="宋体"/>
          <w:color w:val="auto"/>
          <w:sz w:val="24"/>
          <w:szCs w:val="24"/>
          <w:highlight w:val="none"/>
        </w:rPr>
        <w:t>）遴选公告及信息发布渠道：</w:t>
      </w:r>
      <w:r>
        <w:rPr>
          <w:rFonts w:hint="eastAsia" w:ascii="宋体" w:hAnsi="宋体" w:eastAsia="宋体" w:cs="宋体"/>
          <w:color w:val="auto"/>
          <w:sz w:val="24"/>
          <w:szCs w:val="24"/>
          <w:highlight w:val="none"/>
          <w:lang w:eastAsia="zh-CN"/>
        </w:rPr>
        <w:t>永嘉县人民医院内、</w:t>
      </w:r>
      <w:r>
        <w:rPr>
          <w:rFonts w:hint="eastAsia" w:ascii="宋体" w:hAnsi="宋体" w:eastAsia="宋体" w:cs="宋体"/>
          <w:color w:val="auto"/>
          <w:sz w:val="24"/>
          <w:szCs w:val="24"/>
          <w:highlight w:val="none"/>
        </w:rPr>
        <w:t>外网</w:t>
      </w:r>
      <w:r>
        <w:rPr>
          <w:rFonts w:hint="eastAsia" w:ascii="宋体" w:hAnsi="宋体" w:eastAsia="宋体" w:cs="宋体"/>
          <w:color w:val="auto"/>
          <w:sz w:val="24"/>
          <w:szCs w:val="24"/>
          <w:highlight w:val="none"/>
          <w:lang w:eastAsia="zh-CN"/>
        </w:rPr>
        <w:t>。</w:t>
      </w:r>
    </w:p>
    <w:p>
      <w:pPr>
        <w:spacing w:line="360" w:lineRule="auto"/>
        <w:jc w:val="center"/>
        <w:rPr>
          <w:b/>
          <w:bCs/>
          <w:color w:val="auto"/>
          <w:sz w:val="32"/>
          <w:highlight w:val="none"/>
        </w:rPr>
      </w:pPr>
      <w:r>
        <w:rPr>
          <w:b/>
          <w:bCs/>
          <w:color w:val="auto"/>
          <w:sz w:val="32"/>
          <w:highlight w:val="none"/>
        </w:rPr>
        <w:br w:type="page"/>
      </w:r>
      <w:r>
        <w:rPr>
          <w:rFonts w:hAnsi="宋体"/>
          <w:b/>
          <w:bCs/>
          <w:color w:val="auto"/>
          <w:sz w:val="32"/>
          <w:highlight w:val="none"/>
        </w:rPr>
        <w:t>第二章</w:t>
      </w:r>
      <w:r>
        <w:rPr>
          <w:rFonts w:hint="eastAsia" w:hAnsi="宋体"/>
          <w:b/>
          <w:bCs/>
          <w:color w:val="auto"/>
          <w:sz w:val="32"/>
          <w:highlight w:val="none"/>
        </w:rPr>
        <w:t>遴选要求和</w:t>
      </w:r>
      <w:r>
        <w:rPr>
          <w:rFonts w:hAnsi="宋体"/>
          <w:b/>
          <w:bCs/>
          <w:color w:val="auto"/>
          <w:sz w:val="32"/>
          <w:highlight w:val="none"/>
        </w:rPr>
        <w:t>须知</w:t>
      </w:r>
    </w:p>
    <w:p>
      <w:pPr>
        <w:spacing w:line="360" w:lineRule="auto"/>
        <w:jc w:val="center"/>
        <w:rPr>
          <w:b/>
          <w:bCs/>
          <w:color w:val="auto"/>
          <w:sz w:val="24"/>
          <w:highlight w:val="none"/>
        </w:rPr>
      </w:pPr>
    </w:p>
    <w:p>
      <w:pPr>
        <w:spacing w:line="360" w:lineRule="auto"/>
        <w:rPr>
          <w:b/>
          <w:bCs/>
          <w:color w:val="auto"/>
          <w:sz w:val="24"/>
          <w:highlight w:val="none"/>
        </w:rPr>
      </w:pPr>
      <w:r>
        <w:rPr>
          <w:rFonts w:hAnsi="宋体"/>
          <w:b/>
          <w:bCs/>
          <w:color w:val="auto"/>
          <w:sz w:val="24"/>
          <w:highlight w:val="none"/>
        </w:rPr>
        <w:t>一、综合说明</w:t>
      </w:r>
    </w:p>
    <w:p>
      <w:pPr>
        <w:spacing w:line="360" w:lineRule="auto"/>
        <w:ind w:firstLine="480" w:firstLineChars="200"/>
        <w:rPr>
          <w:rFonts w:hAnsi="宋体"/>
          <w:color w:val="auto"/>
          <w:sz w:val="24"/>
          <w:highlight w:val="none"/>
        </w:rPr>
      </w:pPr>
      <w:r>
        <w:rPr>
          <w:rFonts w:hint="eastAsia" w:hAnsi="宋体"/>
          <w:color w:val="auto"/>
          <w:sz w:val="24"/>
          <w:highlight w:val="none"/>
        </w:rPr>
        <w:t>本次遴选的服务为永嘉县医疗卫生服务能力保障提升项目（人民医院迁建工程）的招标代理服务</w:t>
      </w:r>
      <w:r>
        <w:rPr>
          <w:rFonts w:hint="eastAsia" w:hAnsi="宋体"/>
          <w:b/>
          <w:bCs/>
          <w:color w:val="auto"/>
          <w:sz w:val="24"/>
          <w:highlight w:val="none"/>
        </w:rPr>
        <w:t>，</w:t>
      </w:r>
      <w:r>
        <w:rPr>
          <w:rFonts w:hint="eastAsia" w:hAnsi="宋体"/>
          <w:color w:val="auto"/>
          <w:sz w:val="24"/>
          <w:highlight w:val="none"/>
        </w:rPr>
        <w:t>期限为</w:t>
      </w:r>
      <w:r>
        <w:rPr>
          <w:rFonts w:hint="eastAsia" w:hAnsi="宋体"/>
          <w:color w:val="auto"/>
          <w:sz w:val="24"/>
          <w:highlight w:val="none"/>
          <w:lang w:val="en-US" w:eastAsia="zh-CN"/>
        </w:rPr>
        <w:t>3</w:t>
      </w:r>
      <w:r>
        <w:rPr>
          <w:rFonts w:hint="eastAsia" w:hAnsi="宋体"/>
          <w:color w:val="auto"/>
          <w:sz w:val="24"/>
          <w:highlight w:val="none"/>
        </w:rPr>
        <w:t>年。合同期内，院方保留终止合同重新遴选的权利。</w:t>
      </w:r>
    </w:p>
    <w:p>
      <w:pPr>
        <w:spacing w:line="360" w:lineRule="auto"/>
        <w:ind w:firstLine="480" w:firstLineChars="200"/>
        <w:rPr>
          <w:color w:val="auto"/>
          <w:sz w:val="24"/>
          <w:highlight w:val="none"/>
        </w:rPr>
      </w:pPr>
      <w:r>
        <w:rPr>
          <w:rFonts w:hAnsi="宋体"/>
          <w:color w:val="auto"/>
          <w:sz w:val="24"/>
          <w:highlight w:val="none"/>
        </w:rPr>
        <w:t>本文件仅适用于本次所叙述</w:t>
      </w:r>
      <w:r>
        <w:rPr>
          <w:rFonts w:hint="eastAsia" w:hAnsi="宋体"/>
          <w:color w:val="auto"/>
          <w:sz w:val="24"/>
          <w:highlight w:val="none"/>
        </w:rPr>
        <w:t>永嘉县医疗卫生服务能力保障提升项目（人民医院迁建工程）招标代理机构遴选</w:t>
      </w:r>
      <w:r>
        <w:rPr>
          <w:rFonts w:hAnsi="宋体"/>
          <w:color w:val="auto"/>
          <w:sz w:val="24"/>
          <w:highlight w:val="none"/>
        </w:rPr>
        <w:t>。</w:t>
      </w:r>
    </w:p>
    <w:p>
      <w:pPr>
        <w:spacing w:line="360" w:lineRule="auto"/>
        <w:rPr>
          <w:b/>
          <w:bCs/>
          <w:color w:val="auto"/>
          <w:sz w:val="24"/>
          <w:highlight w:val="none"/>
        </w:rPr>
      </w:pPr>
      <w:r>
        <w:rPr>
          <w:rFonts w:hAnsi="宋体"/>
          <w:b/>
          <w:bCs/>
          <w:color w:val="auto"/>
          <w:sz w:val="24"/>
          <w:highlight w:val="none"/>
        </w:rPr>
        <w:t>二、遴选文件说明</w:t>
      </w:r>
    </w:p>
    <w:p>
      <w:pPr>
        <w:spacing w:line="360" w:lineRule="auto"/>
        <w:rPr>
          <w:color w:val="auto"/>
          <w:kern w:val="0"/>
          <w:sz w:val="24"/>
          <w:highlight w:val="none"/>
        </w:rPr>
      </w:pPr>
      <w:r>
        <w:rPr>
          <w:rFonts w:hAnsi="宋体"/>
          <w:color w:val="auto"/>
          <w:sz w:val="24"/>
          <w:highlight w:val="none"/>
        </w:rPr>
        <w:t>（一）</w:t>
      </w:r>
      <w:r>
        <w:rPr>
          <w:rFonts w:hAnsi="宋体"/>
          <w:color w:val="auto"/>
          <w:kern w:val="0"/>
          <w:sz w:val="24"/>
          <w:highlight w:val="none"/>
        </w:rPr>
        <w:t>遴选文件的组成</w:t>
      </w:r>
    </w:p>
    <w:p>
      <w:pPr>
        <w:spacing w:line="360" w:lineRule="auto"/>
        <w:rPr>
          <w:color w:val="auto"/>
          <w:kern w:val="0"/>
          <w:sz w:val="24"/>
          <w:highlight w:val="none"/>
        </w:rPr>
      </w:pPr>
      <w:r>
        <w:rPr>
          <w:color w:val="auto"/>
          <w:kern w:val="0"/>
          <w:sz w:val="24"/>
          <w:highlight w:val="none"/>
        </w:rPr>
        <w:t>1</w:t>
      </w:r>
      <w:r>
        <w:rPr>
          <w:rFonts w:hAnsi="宋体"/>
          <w:color w:val="auto"/>
          <w:kern w:val="0"/>
          <w:sz w:val="24"/>
          <w:highlight w:val="none"/>
        </w:rPr>
        <w:t>、</w:t>
      </w:r>
      <w:r>
        <w:rPr>
          <w:rFonts w:hint="eastAsia" w:hAnsi="宋体"/>
          <w:color w:val="auto"/>
          <w:kern w:val="0"/>
          <w:sz w:val="24"/>
          <w:highlight w:val="none"/>
        </w:rPr>
        <w:t>遴选</w:t>
      </w:r>
      <w:r>
        <w:rPr>
          <w:rFonts w:hAnsi="宋体"/>
          <w:color w:val="auto"/>
          <w:kern w:val="0"/>
          <w:sz w:val="24"/>
          <w:highlight w:val="none"/>
        </w:rPr>
        <w:t>公告。</w:t>
      </w:r>
    </w:p>
    <w:p>
      <w:pPr>
        <w:spacing w:line="360" w:lineRule="auto"/>
        <w:rPr>
          <w:color w:val="auto"/>
          <w:kern w:val="0"/>
          <w:sz w:val="24"/>
          <w:highlight w:val="none"/>
        </w:rPr>
      </w:pPr>
      <w:r>
        <w:rPr>
          <w:color w:val="auto"/>
          <w:kern w:val="0"/>
          <w:sz w:val="24"/>
          <w:highlight w:val="none"/>
        </w:rPr>
        <w:t>2</w:t>
      </w:r>
      <w:r>
        <w:rPr>
          <w:rFonts w:hAnsi="宋体"/>
          <w:color w:val="auto"/>
          <w:kern w:val="0"/>
          <w:sz w:val="24"/>
          <w:highlight w:val="none"/>
        </w:rPr>
        <w:t>、</w:t>
      </w:r>
      <w:r>
        <w:rPr>
          <w:rFonts w:hint="eastAsia" w:hAnsi="宋体"/>
          <w:color w:val="auto"/>
          <w:kern w:val="0"/>
          <w:sz w:val="24"/>
          <w:highlight w:val="none"/>
        </w:rPr>
        <w:t>遴选</w:t>
      </w:r>
      <w:r>
        <w:rPr>
          <w:rFonts w:hAnsi="宋体"/>
          <w:color w:val="auto"/>
          <w:kern w:val="0"/>
          <w:sz w:val="24"/>
          <w:highlight w:val="none"/>
        </w:rPr>
        <w:t>须知。</w:t>
      </w:r>
    </w:p>
    <w:p>
      <w:pPr>
        <w:spacing w:line="360" w:lineRule="auto"/>
        <w:rPr>
          <w:color w:val="auto"/>
          <w:kern w:val="0"/>
          <w:sz w:val="24"/>
          <w:highlight w:val="none"/>
        </w:rPr>
      </w:pPr>
      <w:r>
        <w:rPr>
          <w:rFonts w:hint="eastAsia"/>
          <w:color w:val="auto"/>
          <w:kern w:val="0"/>
          <w:sz w:val="24"/>
          <w:highlight w:val="none"/>
        </w:rPr>
        <w:t>3、评定内容及</w:t>
      </w:r>
      <w:r>
        <w:rPr>
          <w:rFonts w:hAnsi="宋体"/>
          <w:color w:val="auto"/>
          <w:kern w:val="0"/>
          <w:sz w:val="24"/>
          <w:highlight w:val="none"/>
        </w:rPr>
        <w:t>评标标准</w:t>
      </w:r>
      <w:r>
        <w:rPr>
          <w:rFonts w:hint="eastAsia" w:hAnsi="宋体"/>
          <w:color w:val="auto"/>
          <w:kern w:val="0"/>
          <w:sz w:val="24"/>
          <w:highlight w:val="none"/>
        </w:rPr>
        <w:t>。</w:t>
      </w:r>
    </w:p>
    <w:p>
      <w:pPr>
        <w:spacing w:line="360" w:lineRule="auto"/>
        <w:rPr>
          <w:color w:val="auto"/>
          <w:kern w:val="0"/>
          <w:sz w:val="24"/>
          <w:highlight w:val="none"/>
        </w:rPr>
      </w:pPr>
      <w:r>
        <w:rPr>
          <w:rFonts w:hint="eastAsia"/>
          <w:color w:val="auto"/>
          <w:kern w:val="0"/>
          <w:sz w:val="24"/>
          <w:highlight w:val="none"/>
        </w:rPr>
        <w:t>4</w:t>
      </w:r>
      <w:r>
        <w:rPr>
          <w:rFonts w:hAnsi="宋体"/>
          <w:color w:val="auto"/>
          <w:kern w:val="0"/>
          <w:sz w:val="24"/>
          <w:highlight w:val="none"/>
        </w:rPr>
        <w:t>、合同主要条款。</w:t>
      </w:r>
    </w:p>
    <w:p>
      <w:pPr>
        <w:spacing w:line="360" w:lineRule="auto"/>
        <w:rPr>
          <w:color w:val="auto"/>
          <w:kern w:val="0"/>
          <w:sz w:val="24"/>
          <w:highlight w:val="none"/>
        </w:rPr>
      </w:pPr>
      <w:r>
        <w:rPr>
          <w:rFonts w:hint="eastAsia"/>
          <w:color w:val="auto"/>
          <w:kern w:val="0"/>
          <w:sz w:val="24"/>
          <w:highlight w:val="none"/>
        </w:rPr>
        <w:t>5</w:t>
      </w:r>
      <w:r>
        <w:rPr>
          <w:rFonts w:hAnsi="宋体"/>
          <w:color w:val="auto"/>
          <w:kern w:val="0"/>
          <w:sz w:val="24"/>
          <w:highlight w:val="none"/>
        </w:rPr>
        <w:t>、</w:t>
      </w:r>
      <w:r>
        <w:rPr>
          <w:rFonts w:hAnsi="宋体"/>
          <w:bCs/>
          <w:color w:val="auto"/>
          <w:sz w:val="24"/>
          <w:highlight w:val="none"/>
        </w:rPr>
        <w:t>附件</w:t>
      </w:r>
    </w:p>
    <w:p>
      <w:pPr>
        <w:spacing w:line="360" w:lineRule="auto"/>
        <w:rPr>
          <w:color w:val="auto"/>
          <w:sz w:val="24"/>
          <w:highlight w:val="none"/>
        </w:rPr>
      </w:pPr>
    </w:p>
    <w:p>
      <w:pPr>
        <w:spacing w:line="360" w:lineRule="auto"/>
        <w:rPr>
          <w:b/>
          <w:bCs/>
          <w:color w:val="auto"/>
          <w:sz w:val="24"/>
          <w:highlight w:val="none"/>
        </w:rPr>
      </w:pPr>
      <w:r>
        <w:rPr>
          <w:rFonts w:hAnsi="宋体"/>
          <w:b/>
          <w:bCs/>
          <w:color w:val="auto"/>
          <w:sz w:val="24"/>
          <w:highlight w:val="none"/>
        </w:rPr>
        <w:t>三、遴选响应文件的编写</w:t>
      </w:r>
    </w:p>
    <w:p>
      <w:pPr>
        <w:spacing w:line="360" w:lineRule="auto"/>
        <w:rPr>
          <w:color w:val="auto"/>
          <w:sz w:val="24"/>
          <w:highlight w:val="none"/>
        </w:rPr>
      </w:pPr>
      <w:r>
        <w:rPr>
          <w:rFonts w:hAnsi="宋体"/>
          <w:color w:val="auto"/>
          <w:sz w:val="24"/>
          <w:highlight w:val="none"/>
        </w:rPr>
        <w:t>（一）总体要求</w:t>
      </w:r>
    </w:p>
    <w:p>
      <w:pPr>
        <w:spacing w:line="360" w:lineRule="auto"/>
        <w:rPr>
          <w:color w:val="auto"/>
          <w:sz w:val="24"/>
          <w:highlight w:val="none"/>
        </w:rPr>
      </w:pPr>
      <w:r>
        <w:rPr>
          <w:color w:val="auto"/>
          <w:sz w:val="24"/>
          <w:highlight w:val="none"/>
        </w:rPr>
        <w:t>1</w:t>
      </w:r>
      <w:r>
        <w:rPr>
          <w:rFonts w:hAnsi="宋体"/>
          <w:color w:val="auto"/>
          <w:sz w:val="24"/>
          <w:highlight w:val="none"/>
        </w:rPr>
        <w:t>、</w:t>
      </w:r>
      <w:r>
        <w:rPr>
          <w:rFonts w:hint="eastAsia" w:hAnsi="宋体"/>
          <w:color w:val="auto"/>
          <w:sz w:val="24"/>
          <w:highlight w:val="none"/>
        </w:rPr>
        <w:t>各</w:t>
      </w:r>
      <w:r>
        <w:rPr>
          <w:rFonts w:hAnsi="宋体"/>
          <w:color w:val="auto"/>
          <w:sz w:val="24"/>
          <w:highlight w:val="none"/>
        </w:rPr>
        <w:t>招标代理机构应仔细阅读遴选文件的所有内容，按本文件的要求提供遴选响应文件，并保证所提供的全部资料的真实性，以使其遴选响应文件对本文件作出实质性响应，否则，其遴选响应文件可能</w:t>
      </w:r>
      <w:r>
        <w:rPr>
          <w:rFonts w:hint="eastAsia" w:hAnsi="宋体"/>
          <w:color w:val="auto"/>
          <w:sz w:val="24"/>
          <w:highlight w:val="none"/>
        </w:rPr>
        <w:t>视为无效</w:t>
      </w:r>
      <w:r>
        <w:rPr>
          <w:rFonts w:hAnsi="宋体"/>
          <w:color w:val="auto"/>
          <w:sz w:val="24"/>
          <w:highlight w:val="none"/>
        </w:rPr>
        <w:t>。</w:t>
      </w:r>
    </w:p>
    <w:p>
      <w:pPr>
        <w:spacing w:line="360" w:lineRule="auto"/>
        <w:rPr>
          <w:color w:val="auto"/>
          <w:sz w:val="24"/>
          <w:highlight w:val="none"/>
        </w:rPr>
      </w:pPr>
      <w:r>
        <w:rPr>
          <w:color w:val="auto"/>
          <w:sz w:val="24"/>
          <w:highlight w:val="none"/>
        </w:rPr>
        <w:t>2</w:t>
      </w:r>
      <w:r>
        <w:rPr>
          <w:rFonts w:hAnsi="宋体"/>
          <w:color w:val="auto"/>
          <w:sz w:val="24"/>
          <w:highlight w:val="none"/>
        </w:rPr>
        <w:t>、遴选响应文件及</w:t>
      </w:r>
      <w:r>
        <w:rPr>
          <w:rFonts w:hint="eastAsia" w:hAnsi="宋体"/>
          <w:color w:val="auto"/>
          <w:sz w:val="24"/>
          <w:highlight w:val="none"/>
        </w:rPr>
        <w:t>各</w:t>
      </w:r>
      <w:r>
        <w:rPr>
          <w:rFonts w:hAnsi="宋体"/>
          <w:color w:val="auto"/>
          <w:sz w:val="24"/>
          <w:highlight w:val="none"/>
        </w:rPr>
        <w:t>招标代理机构与</w:t>
      </w:r>
      <w:r>
        <w:rPr>
          <w:rFonts w:hint="eastAsia" w:hAnsi="宋体"/>
          <w:color w:val="auto"/>
          <w:sz w:val="24"/>
          <w:highlight w:val="none"/>
        </w:rPr>
        <w:t>本次遴选</w:t>
      </w:r>
      <w:r>
        <w:rPr>
          <w:rFonts w:hAnsi="宋体"/>
          <w:color w:val="auto"/>
          <w:sz w:val="24"/>
          <w:highlight w:val="none"/>
        </w:rPr>
        <w:t>有关的来往通知、函件和文件均应使用中文。</w:t>
      </w:r>
    </w:p>
    <w:p>
      <w:pPr>
        <w:spacing w:line="360" w:lineRule="auto"/>
        <w:rPr>
          <w:color w:val="auto"/>
          <w:sz w:val="24"/>
          <w:highlight w:val="none"/>
        </w:rPr>
      </w:pPr>
      <w:r>
        <w:rPr>
          <w:color w:val="auto"/>
          <w:sz w:val="24"/>
          <w:highlight w:val="none"/>
        </w:rPr>
        <w:t>3</w:t>
      </w:r>
      <w:r>
        <w:rPr>
          <w:rFonts w:hAnsi="宋体"/>
          <w:color w:val="auto"/>
          <w:sz w:val="24"/>
          <w:highlight w:val="none"/>
        </w:rPr>
        <w:t>、</w:t>
      </w:r>
      <w:r>
        <w:rPr>
          <w:rFonts w:hint="eastAsia" w:hAnsi="宋体"/>
          <w:color w:val="auto"/>
          <w:sz w:val="24"/>
          <w:highlight w:val="none"/>
        </w:rPr>
        <w:t>各</w:t>
      </w:r>
      <w:r>
        <w:rPr>
          <w:rFonts w:hAnsi="宋体"/>
          <w:color w:val="auto"/>
          <w:sz w:val="24"/>
          <w:highlight w:val="none"/>
        </w:rPr>
        <w:t>招标代理机构应按本文件中提供的文件格式、内容和要求制作遴选响应文件。遴选响应文件应装订成册。</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（二）遴选响应文件的组成</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各招标代理机构应按以下要求提供相关文件和材料，遴选响应文件须提供</w:t>
      </w:r>
      <w:r>
        <w:rPr>
          <w:rFonts w:hint="eastAsia" w:ascii="宋体" w:hAnsi="宋体" w:eastAsia="宋体" w:cs="宋体"/>
          <w:bCs/>
          <w:color w:val="auto"/>
          <w:sz w:val="24"/>
          <w:highlight w:val="none"/>
        </w:rPr>
        <w:t>正本一份、副本四份。遴选响应文件的</w:t>
      </w:r>
      <w:r>
        <w:rPr>
          <w:rFonts w:hint="eastAsia" w:ascii="宋体" w:hAnsi="宋体" w:eastAsia="宋体" w:cs="宋体"/>
          <w:color w:val="auto"/>
          <w:sz w:val="24"/>
          <w:highlight w:val="none"/>
        </w:rPr>
        <w:t>内容应包括：</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 响应</w:t>
      </w:r>
      <w:r>
        <w:rPr>
          <w:rFonts w:hint="eastAsia" w:ascii="宋体" w:hAnsi="宋体" w:cs="宋体"/>
          <w:bCs/>
          <w:color w:val="auto"/>
          <w:sz w:val="24"/>
          <w:szCs w:val="24"/>
          <w:highlight w:val="none"/>
          <w:lang w:eastAsia="zh-CN"/>
        </w:rPr>
        <w:t>函</w:t>
      </w:r>
      <w:r>
        <w:rPr>
          <w:rFonts w:hint="eastAsia" w:ascii="宋体" w:hAnsi="宋体" w:eastAsia="宋体" w:cs="宋体"/>
          <w:bCs/>
          <w:color w:val="auto"/>
          <w:sz w:val="24"/>
          <w:szCs w:val="24"/>
          <w:highlight w:val="none"/>
        </w:rPr>
        <w:t>（格式见附件一）；</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 报价一览表（格式见附件二）；</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 法定代表人授权书（格式见附件三）；</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 营业执照副本复印件等遴选资格文件；</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 企业简介；</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 招标代理机构的招标业务内控机制（招标业务内部管理体系）和内部管理体系；</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 从事医院招标代理服务情况，提供相关资料；</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8. 从事医院医疗设备、信息、总务物资等的招标代理服务项目业绩情况； </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 针对本项目制定的招标代理工作流程，代理项目实施方案；</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10. 项目组人员情况；</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11. 拟派项目负责人（中选后经院方同意可更换）简历、职称证书、执业资格证书及代理业绩，项目其他人员培训合格证书；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12．温州市区分公司或办事处设立情况的证明资料；</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13. 保密和廉洁自律承诺、提交资料真实性承诺、招标代理质量保证承诺、招标代理服务时间保证承诺；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招标代理机构认为需要的其他资料；</w:t>
      </w:r>
    </w:p>
    <w:p>
      <w:pPr>
        <w:spacing w:line="360" w:lineRule="auto"/>
        <w:rPr>
          <w:rFonts w:hint="eastAsia" w:ascii="宋体" w:hAnsi="宋体" w:eastAsia="宋体" w:cs="宋体"/>
          <w:bCs/>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（四）遴选响应有效期</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1、▲遴选响应文件从遴选响应文件递交截止之日起，有效期为90天；</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（五）遴选响应文件的签署及规定</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1、每套文件均须清楚的标明“正本”、“副本”。若正本和副本有差异，以正本为准。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2、遴选响应文件的正本需打印或用不褪色墨水书写，文件的副本可采用正本的复印件。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3、任何行间插字、涂改和增删，必须由各招标代理机构代表在旁边签字才有效。</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4、电报、电话、传真形式的遴选响应文件概不接受。</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（六）遴选响应文件的密封和标记</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1、遴选响应文件应密封，并在封口加盖招标代理机构单位公章。</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2、每包的封面均应：注明项目名称、招标代理机构名称、遴选响应文件名称（即正本或副本）。</w:t>
      </w:r>
    </w:p>
    <w:p>
      <w:pPr>
        <w:spacing w:line="360" w:lineRule="auto"/>
        <w:rPr>
          <w:color w:val="auto"/>
          <w:sz w:val="24"/>
          <w:highlight w:val="none"/>
        </w:rPr>
      </w:pPr>
    </w:p>
    <w:p>
      <w:pPr>
        <w:spacing w:line="360" w:lineRule="auto"/>
        <w:rPr>
          <w:b/>
          <w:bCs/>
          <w:color w:val="auto"/>
          <w:sz w:val="24"/>
          <w:highlight w:val="none"/>
        </w:rPr>
      </w:pPr>
      <w:r>
        <w:rPr>
          <w:rFonts w:hAnsi="宋体"/>
          <w:b/>
          <w:bCs/>
          <w:color w:val="auto"/>
          <w:sz w:val="24"/>
          <w:highlight w:val="none"/>
        </w:rPr>
        <w:t>四、遴选响应文件的递交</w:t>
      </w:r>
    </w:p>
    <w:p>
      <w:pPr>
        <w:spacing w:line="360" w:lineRule="auto"/>
        <w:rPr>
          <w:bCs/>
          <w:color w:val="auto"/>
          <w:sz w:val="24"/>
          <w:highlight w:val="none"/>
        </w:rPr>
      </w:pPr>
      <w:r>
        <w:rPr>
          <w:rFonts w:hAnsi="宋体"/>
          <w:bCs/>
          <w:color w:val="auto"/>
          <w:sz w:val="24"/>
          <w:highlight w:val="none"/>
        </w:rPr>
        <w:t>（一）遴选响应文件的递交、修改和撤回</w:t>
      </w:r>
    </w:p>
    <w:p>
      <w:pPr>
        <w:spacing w:line="360" w:lineRule="auto"/>
        <w:rPr>
          <w:rFonts w:hAnsi="宋体"/>
          <w:color w:val="auto"/>
          <w:sz w:val="24"/>
          <w:highlight w:val="none"/>
        </w:rPr>
      </w:pPr>
      <w:r>
        <w:rPr>
          <w:color w:val="auto"/>
          <w:sz w:val="24"/>
          <w:highlight w:val="none"/>
        </w:rPr>
        <w:t>1</w:t>
      </w:r>
      <w:r>
        <w:rPr>
          <w:rFonts w:hAnsi="宋体"/>
          <w:color w:val="auto"/>
          <w:sz w:val="24"/>
          <w:highlight w:val="none"/>
        </w:rPr>
        <w:t>、</w:t>
      </w:r>
      <w:r>
        <w:rPr>
          <w:rFonts w:hint="eastAsia" w:hAnsi="宋体"/>
          <w:color w:val="auto"/>
          <w:sz w:val="24"/>
          <w:highlight w:val="none"/>
        </w:rPr>
        <w:t>各</w:t>
      </w:r>
      <w:r>
        <w:rPr>
          <w:rFonts w:hAnsi="宋体"/>
          <w:color w:val="auto"/>
          <w:sz w:val="24"/>
          <w:highlight w:val="none"/>
        </w:rPr>
        <w:t>招标代理机构在递交遴选响应文件后</w:t>
      </w:r>
      <w:r>
        <w:rPr>
          <w:rFonts w:hint="eastAsia" w:hAnsi="宋体"/>
          <w:color w:val="auto"/>
          <w:sz w:val="24"/>
          <w:highlight w:val="none"/>
        </w:rPr>
        <w:t>在文件递交截止日期前</w:t>
      </w:r>
      <w:r>
        <w:rPr>
          <w:rFonts w:hAnsi="宋体"/>
          <w:color w:val="auto"/>
          <w:sz w:val="24"/>
          <w:highlight w:val="none"/>
        </w:rPr>
        <w:t>，可以修改或撤回其遴选响应文件</w:t>
      </w:r>
      <w:r>
        <w:rPr>
          <w:rFonts w:hint="eastAsia" w:hAnsi="宋体"/>
          <w:color w:val="auto"/>
          <w:sz w:val="24"/>
          <w:highlight w:val="none"/>
        </w:rPr>
        <w:t>。</w:t>
      </w:r>
    </w:p>
    <w:p>
      <w:pPr>
        <w:spacing w:line="360" w:lineRule="auto"/>
        <w:rPr>
          <w:color w:val="auto"/>
          <w:sz w:val="24"/>
          <w:highlight w:val="none"/>
        </w:rPr>
      </w:pPr>
      <w:r>
        <w:rPr>
          <w:color w:val="auto"/>
          <w:sz w:val="24"/>
          <w:highlight w:val="none"/>
        </w:rPr>
        <w:t>2</w:t>
      </w:r>
      <w:r>
        <w:rPr>
          <w:rFonts w:hAnsi="宋体"/>
          <w:color w:val="auto"/>
          <w:sz w:val="24"/>
          <w:highlight w:val="none"/>
        </w:rPr>
        <w:t>、</w:t>
      </w:r>
      <w:r>
        <w:rPr>
          <w:rFonts w:hint="eastAsia" w:hAnsi="宋体"/>
          <w:color w:val="auto"/>
          <w:sz w:val="24"/>
          <w:highlight w:val="none"/>
        </w:rPr>
        <w:t>各</w:t>
      </w:r>
      <w:r>
        <w:rPr>
          <w:rFonts w:hAnsi="宋体"/>
          <w:color w:val="auto"/>
          <w:sz w:val="24"/>
          <w:highlight w:val="none"/>
        </w:rPr>
        <w:t>招标代理机构修改后的遴选响应文件应按原来的规定编制、密封、标记和递交。</w:t>
      </w:r>
    </w:p>
    <w:p>
      <w:pPr>
        <w:spacing w:line="360" w:lineRule="auto"/>
        <w:rPr>
          <w:color w:val="auto"/>
          <w:sz w:val="24"/>
          <w:highlight w:val="none"/>
        </w:rPr>
      </w:pPr>
      <w:r>
        <w:rPr>
          <w:color w:val="auto"/>
          <w:sz w:val="24"/>
          <w:highlight w:val="none"/>
        </w:rPr>
        <w:t>3</w:t>
      </w:r>
      <w:r>
        <w:rPr>
          <w:rFonts w:hAnsi="宋体"/>
          <w:color w:val="auto"/>
          <w:sz w:val="24"/>
          <w:highlight w:val="none"/>
        </w:rPr>
        <w:t>、在递交遴选响应文件截止期之后，</w:t>
      </w:r>
      <w:r>
        <w:rPr>
          <w:rFonts w:hint="eastAsia" w:hAnsi="宋体"/>
          <w:color w:val="auto"/>
          <w:sz w:val="24"/>
          <w:highlight w:val="none"/>
        </w:rPr>
        <w:t>各</w:t>
      </w:r>
      <w:r>
        <w:rPr>
          <w:rFonts w:hAnsi="宋体"/>
          <w:color w:val="auto"/>
          <w:sz w:val="24"/>
          <w:highlight w:val="none"/>
        </w:rPr>
        <w:t>招标代理机构不得对其遴选响应文件做任何修改。</w:t>
      </w:r>
    </w:p>
    <w:p>
      <w:pPr>
        <w:spacing w:line="360" w:lineRule="auto"/>
        <w:rPr>
          <w:color w:val="auto"/>
          <w:sz w:val="24"/>
          <w:highlight w:val="none"/>
        </w:rPr>
      </w:pPr>
      <w:r>
        <w:rPr>
          <w:color w:val="auto"/>
          <w:sz w:val="24"/>
          <w:highlight w:val="none"/>
        </w:rPr>
        <w:t>4</w:t>
      </w:r>
      <w:r>
        <w:rPr>
          <w:rFonts w:hAnsi="宋体"/>
          <w:color w:val="auto"/>
          <w:sz w:val="24"/>
          <w:highlight w:val="none"/>
        </w:rPr>
        <w:t>、递交遴选响应文件截止期后，</w:t>
      </w:r>
      <w:r>
        <w:rPr>
          <w:rFonts w:hint="eastAsia" w:hAnsi="宋体"/>
          <w:color w:val="auto"/>
          <w:sz w:val="24"/>
          <w:highlight w:val="none"/>
        </w:rPr>
        <w:t>各</w:t>
      </w:r>
      <w:r>
        <w:rPr>
          <w:rFonts w:hAnsi="宋体"/>
          <w:color w:val="auto"/>
          <w:sz w:val="24"/>
          <w:highlight w:val="none"/>
        </w:rPr>
        <w:t>招标代理机构不得撤回其遴选响应文件，否则</w:t>
      </w:r>
      <w:r>
        <w:rPr>
          <w:rFonts w:hint="eastAsia" w:hAnsi="宋体"/>
          <w:color w:val="auto"/>
          <w:sz w:val="24"/>
          <w:highlight w:val="none"/>
        </w:rPr>
        <w:t>将视为自动放弃竞争</w:t>
      </w:r>
      <w:r>
        <w:rPr>
          <w:rFonts w:hAnsi="宋体"/>
          <w:color w:val="auto"/>
          <w:sz w:val="24"/>
          <w:highlight w:val="none"/>
        </w:rPr>
        <w:t>。</w:t>
      </w:r>
    </w:p>
    <w:p>
      <w:pPr>
        <w:spacing w:line="360" w:lineRule="auto"/>
        <w:rPr>
          <w:rFonts w:hAnsi="宋体"/>
          <w:color w:val="auto"/>
          <w:sz w:val="24"/>
          <w:highlight w:val="none"/>
        </w:rPr>
      </w:pPr>
      <w:r>
        <w:rPr>
          <w:color w:val="auto"/>
          <w:sz w:val="24"/>
          <w:highlight w:val="none"/>
        </w:rPr>
        <w:t>5</w:t>
      </w:r>
      <w:r>
        <w:rPr>
          <w:rFonts w:hAnsi="宋体"/>
          <w:color w:val="auto"/>
          <w:sz w:val="24"/>
          <w:highlight w:val="none"/>
        </w:rPr>
        <w:t>、实质上没有响应本文件要求的遴选响应文件将被拒绝。</w:t>
      </w:r>
      <w:r>
        <w:rPr>
          <w:rFonts w:hint="eastAsia" w:hAnsi="宋体"/>
          <w:color w:val="auto"/>
          <w:sz w:val="24"/>
          <w:highlight w:val="none"/>
        </w:rPr>
        <w:t>各</w:t>
      </w:r>
      <w:r>
        <w:rPr>
          <w:rFonts w:hAnsi="宋体"/>
          <w:color w:val="auto"/>
          <w:sz w:val="24"/>
          <w:highlight w:val="none"/>
        </w:rPr>
        <w:t>招标代理机构不得通过修正或撤</w:t>
      </w:r>
      <w:r>
        <w:rPr>
          <w:rFonts w:hint="eastAsia" w:hAnsi="宋体"/>
          <w:color w:val="auto"/>
          <w:sz w:val="24"/>
          <w:highlight w:val="none"/>
        </w:rPr>
        <w:t>销</w:t>
      </w:r>
      <w:r>
        <w:rPr>
          <w:rFonts w:hAnsi="宋体"/>
          <w:color w:val="auto"/>
          <w:sz w:val="24"/>
          <w:highlight w:val="none"/>
        </w:rPr>
        <w:t>不合要求的偏离或保留从而使其遴选响应文件成为实质上响应的文件。</w:t>
      </w:r>
    </w:p>
    <w:p>
      <w:pPr>
        <w:spacing w:line="360" w:lineRule="auto"/>
        <w:rPr>
          <w:color w:val="auto"/>
          <w:sz w:val="24"/>
          <w:highlight w:val="none"/>
        </w:rPr>
      </w:pPr>
    </w:p>
    <w:p>
      <w:pPr>
        <w:spacing w:line="360" w:lineRule="auto"/>
        <w:rPr>
          <w:color w:val="auto"/>
          <w:kern w:val="0"/>
          <w:sz w:val="24"/>
          <w:highlight w:val="none"/>
        </w:rPr>
      </w:pPr>
      <w:r>
        <w:rPr>
          <w:rFonts w:hAnsi="宋体"/>
          <w:color w:val="auto"/>
          <w:sz w:val="24"/>
          <w:highlight w:val="none"/>
        </w:rPr>
        <w:t>（二）</w:t>
      </w:r>
      <w:r>
        <w:rPr>
          <w:rFonts w:hAnsi="宋体"/>
          <w:color w:val="auto"/>
          <w:kern w:val="0"/>
          <w:sz w:val="24"/>
          <w:highlight w:val="none"/>
        </w:rPr>
        <w:t>无效的遴选响应文件</w:t>
      </w:r>
      <w:r>
        <w:rPr>
          <w:rFonts w:hint="eastAsia" w:hAnsi="宋体"/>
          <w:color w:val="auto"/>
          <w:kern w:val="0"/>
          <w:sz w:val="24"/>
          <w:highlight w:val="none"/>
        </w:rPr>
        <w:t>（符合性审查内容）</w:t>
      </w:r>
    </w:p>
    <w:p>
      <w:pPr>
        <w:spacing w:line="360" w:lineRule="auto"/>
        <w:rPr>
          <w:color w:val="auto"/>
          <w:kern w:val="0"/>
          <w:sz w:val="24"/>
          <w:highlight w:val="none"/>
        </w:rPr>
      </w:pPr>
      <w:r>
        <w:rPr>
          <w:rFonts w:hAnsi="宋体"/>
          <w:color w:val="auto"/>
          <w:kern w:val="0"/>
          <w:sz w:val="24"/>
          <w:highlight w:val="none"/>
        </w:rPr>
        <w:t>发生下列情况之一的遴选响应文件被视为无效：</w:t>
      </w:r>
    </w:p>
    <w:p>
      <w:pPr>
        <w:numPr>
          <w:ilvl w:val="0"/>
          <w:numId w:val="1"/>
        </w:numPr>
        <w:spacing w:line="360" w:lineRule="auto"/>
        <w:rPr>
          <w:rFonts w:hAnsi="宋体"/>
          <w:bCs/>
          <w:color w:val="auto"/>
          <w:kern w:val="0"/>
          <w:sz w:val="24"/>
          <w:highlight w:val="none"/>
        </w:rPr>
      </w:pPr>
      <w:r>
        <w:rPr>
          <w:rFonts w:hint="eastAsia" w:hAnsi="宋体"/>
          <w:bCs/>
          <w:color w:val="auto"/>
          <w:kern w:val="0"/>
          <w:sz w:val="24"/>
          <w:highlight w:val="none"/>
        </w:rPr>
        <w:t>文件递交</w:t>
      </w:r>
      <w:r>
        <w:rPr>
          <w:rFonts w:hAnsi="宋体"/>
          <w:bCs/>
          <w:color w:val="auto"/>
          <w:kern w:val="0"/>
          <w:sz w:val="24"/>
          <w:highlight w:val="none"/>
        </w:rPr>
        <w:t>截止时间以后送达的遴选响应文件；</w:t>
      </w:r>
    </w:p>
    <w:p>
      <w:pPr>
        <w:numPr>
          <w:ilvl w:val="0"/>
          <w:numId w:val="1"/>
        </w:numPr>
        <w:spacing w:line="360" w:lineRule="auto"/>
        <w:rPr>
          <w:rFonts w:hint="eastAsia" w:hAnsi="宋体"/>
          <w:bCs/>
          <w:color w:val="auto"/>
          <w:kern w:val="0"/>
          <w:sz w:val="24"/>
          <w:highlight w:val="none"/>
        </w:rPr>
      </w:pPr>
      <w:r>
        <w:rPr>
          <w:rFonts w:hint="eastAsia" w:hAnsi="宋体"/>
          <w:bCs/>
          <w:color w:val="auto"/>
          <w:kern w:val="0"/>
          <w:sz w:val="24"/>
          <w:highlight w:val="none"/>
        </w:rPr>
        <w:t>以电讯形式投标的遴选响应文件；</w:t>
      </w:r>
    </w:p>
    <w:p>
      <w:pPr>
        <w:numPr>
          <w:ilvl w:val="0"/>
          <w:numId w:val="1"/>
        </w:numPr>
        <w:spacing w:line="360" w:lineRule="auto"/>
        <w:rPr>
          <w:rFonts w:hint="eastAsia" w:hAnsi="宋体"/>
          <w:bCs/>
          <w:color w:val="auto"/>
          <w:kern w:val="0"/>
          <w:sz w:val="24"/>
          <w:highlight w:val="none"/>
        </w:rPr>
      </w:pPr>
      <w:r>
        <w:rPr>
          <w:rFonts w:hint="eastAsia" w:hAnsi="宋体"/>
          <w:bCs/>
          <w:color w:val="auto"/>
          <w:kern w:val="0"/>
          <w:sz w:val="24"/>
          <w:highlight w:val="none"/>
        </w:rPr>
        <w:t>与遴选文件有重大偏离的遴选响应文件；</w:t>
      </w:r>
    </w:p>
    <w:p>
      <w:pPr>
        <w:numPr>
          <w:ilvl w:val="0"/>
          <w:numId w:val="1"/>
        </w:numPr>
        <w:spacing w:line="360" w:lineRule="auto"/>
        <w:rPr>
          <w:rFonts w:hint="eastAsia" w:hAnsi="宋体"/>
          <w:bCs/>
          <w:color w:val="auto"/>
          <w:kern w:val="0"/>
          <w:sz w:val="24"/>
          <w:highlight w:val="none"/>
        </w:rPr>
      </w:pPr>
      <w:r>
        <w:rPr>
          <w:rFonts w:hint="eastAsia" w:hAnsi="宋体"/>
          <w:bCs/>
          <w:color w:val="auto"/>
          <w:kern w:val="0"/>
          <w:sz w:val="24"/>
          <w:highlight w:val="none"/>
        </w:rPr>
        <w:t>存在“▲”条款的负偏离或不满足要求；</w:t>
      </w:r>
    </w:p>
    <w:p>
      <w:pPr>
        <w:numPr>
          <w:ilvl w:val="0"/>
          <w:numId w:val="1"/>
        </w:numPr>
        <w:spacing w:line="360" w:lineRule="auto"/>
        <w:rPr>
          <w:rFonts w:hint="eastAsia" w:hAnsi="宋体"/>
          <w:bCs/>
          <w:color w:val="auto"/>
          <w:kern w:val="0"/>
          <w:sz w:val="24"/>
          <w:highlight w:val="none"/>
        </w:rPr>
      </w:pPr>
      <w:r>
        <w:rPr>
          <w:rFonts w:hint="eastAsia" w:hAnsi="宋体"/>
          <w:bCs/>
          <w:color w:val="auto"/>
          <w:kern w:val="0"/>
          <w:sz w:val="24"/>
          <w:highlight w:val="none"/>
        </w:rPr>
        <w:t>资格证明文件不全，致使无法确认招标代理机构的资格的；</w:t>
      </w:r>
    </w:p>
    <w:p>
      <w:pPr>
        <w:numPr>
          <w:ilvl w:val="0"/>
          <w:numId w:val="1"/>
        </w:numPr>
        <w:spacing w:line="360" w:lineRule="auto"/>
        <w:rPr>
          <w:rFonts w:hint="eastAsia" w:hAnsi="宋体"/>
          <w:bCs/>
          <w:color w:val="auto"/>
          <w:kern w:val="0"/>
          <w:sz w:val="24"/>
          <w:highlight w:val="none"/>
        </w:rPr>
      </w:pPr>
      <w:r>
        <w:rPr>
          <w:rFonts w:hint="eastAsia" w:hAnsi="宋体"/>
          <w:bCs/>
          <w:color w:val="auto"/>
          <w:kern w:val="0"/>
          <w:sz w:val="24"/>
          <w:highlight w:val="none"/>
        </w:rPr>
        <w:t>遴选响应文件无法区分正、副本的；</w:t>
      </w:r>
    </w:p>
    <w:p>
      <w:pPr>
        <w:numPr>
          <w:ilvl w:val="0"/>
          <w:numId w:val="1"/>
        </w:numPr>
        <w:spacing w:line="360" w:lineRule="auto"/>
        <w:rPr>
          <w:rFonts w:hint="eastAsia" w:hAnsi="宋体"/>
          <w:bCs/>
          <w:color w:val="auto"/>
          <w:kern w:val="0"/>
          <w:sz w:val="24"/>
          <w:highlight w:val="none"/>
        </w:rPr>
      </w:pPr>
      <w:r>
        <w:rPr>
          <w:rFonts w:hint="eastAsia" w:hAnsi="宋体"/>
          <w:bCs/>
          <w:color w:val="auto"/>
          <w:kern w:val="0"/>
          <w:sz w:val="24"/>
          <w:highlight w:val="none"/>
        </w:rPr>
        <w:t>超出经营范围响应的；</w:t>
      </w:r>
    </w:p>
    <w:p>
      <w:pPr>
        <w:numPr>
          <w:ilvl w:val="0"/>
          <w:numId w:val="1"/>
        </w:numPr>
        <w:spacing w:line="360" w:lineRule="auto"/>
        <w:rPr>
          <w:rFonts w:hint="eastAsia" w:hAnsi="宋体"/>
          <w:bCs/>
          <w:color w:val="auto"/>
          <w:kern w:val="0"/>
          <w:sz w:val="24"/>
          <w:highlight w:val="none"/>
        </w:rPr>
      </w:pPr>
      <w:r>
        <w:rPr>
          <w:rFonts w:hint="eastAsia" w:hAnsi="宋体"/>
          <w:bCs/>
          <w:color w:val="auto"/>
          <w:kern w:val="0"/>
          <w:sz w:val="24"/>
          <w:highlight w:val="none"/>
        </w:rPr>
        <w:t>无法满足以下收费方式：招标代理服务费由招标代理机构向中标人收取，收取标准为招标代理服务收费标准乘以折扣，代理服务费收费标准按国家《招标代理服务收费管理暂行办法》（计价格[2002]1980号），发改办价格[2003]857号执行。</w:t>
      </w:r>
    </w:p>
    <w:p>
      <w:pPr>
        <w:spacing w:line="360" w:lineRule="auto"/>
        <w:rPr>
          <w:color w:val="auto"/>
          <w:highlight w:val="none"/>
        </w:rPr>
      </w:pPr>
      <w:r>
        <w:rPr>
          <w:rFonts w:hint="eastAsia"/>
          <w:color w:val="auto"/>
          <w:highlight w:val="none"/>
        </w:rPr>
        <w:t>代理服务费收费标准参照：</w:t>
      </w:r>
    </w:p>
    <w:tbl>
      <w:tblPr>
        <w:tblStyle w:val="12"/>
        <w:tblW w:w="8165"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205"/>
        <w:gridCol w:w="1310"/>
        <w:gridCol w:w="1325"/>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blCellSpacing w:w="15" w:type="dxa"/>
        </w:trPr>
        <w:tc>
          <w:tcPr>
            <w:tcW w:w="4160" w:type="dxa"/>
            <w:noWrap w:val="0"/>
            <w:tcMar>
              <w:top w:w="30" w:type="dxa"/>
              <w:left w:w="150" w:type="dxa"/>
              <w:bottom w:w="30" w:type="dxa"/>
              <w:right w:w="150" w:type="dxa"/>
            </w:tcMar>
            <w:vAlign w:val="center"/>
          </w:tcPr>
          <w:p>
            <w:pPr>
              <w:rPr>
                <w:color w:val="auto"/>
                <w:highlight w:val="none"/>
              </w:rPr>
            </w:pPr>
            <w:r>
              <w:rPr>
                <w:color w:val="auto"/>
                <w:highlight w:val="none"/>
              </w:rPr>
              <w:t>服务类型、费率、中标金额（万元）</w:t>
            </w:r>
          </w:p>
        </w:tc>
        <w:tc>
          <w:tcPr>
            <w:tcW w:w="1280" w:type="dxa"/>
            <w:noWrap w:val="0"/>
            <w:tcMar>
              <w:top w:w="30" w:type="dxa"/>
              <w:left w:w="150" w:type="dxa"/>
              <w:bottom w:w="30" w:type="dxa"/>
              <w:right w:w="150" w:type="dxa"/>
            </w:tcMar>
            <w:vAlign w:val="center"/>
          </w:tcPr>
          <w:p>
            <w:pPr>
              <w:rPr>
                <w:color w:val="auto"/>
                <w:highlight w:val="none"/>
              </w:rPr>
            </w:pPr>
            <w:r>
              <w:rPr>
                <w:color w:val="auto"/>
                <w:highlight w:val="none"/>
              </w:rPr>
              <w:t>货物招标</w:t>
            </w:r>
          </w:p>
        </w:tc>
        <w:tc>
          <w:tcPr>
            <w:tcW w:w="1295" w:type="dxa"/>
            <w:noWrap w:val="0"/>
            <w:tcMar>
              <w:top w:w="30" w:type="dxa"/>
              <w:left w:w="150" w:type="dxa"/>
              <w:bottom w:w="30" w:type="dxa"/>
              <w:right w:w="150" w:type="dxa"/>
            </w:tcMar>
            <w:vAlign w:val="center"/>
          </w:tcPr>
          <w:p>
            <w:pPr>
              <w:rPr>
                <w:color w:val="auto"/>
                <w:highlight w:val="none"/>
              </w:rPr>
            </w:pPr>
            <w:r>
              <w:rPr>
                <w:color w:val="auto"/>
                <w:highlight w:val="none"/>
              </w:rPr>
              <w:t>服务招标</w:t>
            </w:r>
          </w:p>
        </w:tc>
        <w:tc>
          <w:tcPr>
            <w:tcW w:w="1280" w:type="dxa"/>
            <w:noWrap w:val="0"/>
            <w:tcMar>
              <w:top w:w="30" w:type="dxa"/>
              <w:left w:w="150" w:type="dxa"/>
              <w:bottom w:w="30" w:type="dxa"/>
              <w:right w:w="150" w:type="dxa"/>
            </w:tcMar>
            <w:vAlign w:val="center"/>
          </w:tcPr>
          <w:p>
            <w:pPr>
              <w:rPr>
                <w:rFonts w:hint="eastAsia"/>
                <w:color w:val="auto"/>
                <w:highlight w:val="none"/>
              </w:rPr>
            </w:pPr>
            <w:r>
              <w:rPr>
                <w:rFonts w:hint="eastAsia"/>
                <w:color w:val="auto"/>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blCellSpacing w:w="15" w:type="dxa"/>
        </w:trPr>
        <w:tc>
          <w:tcPr>
            <w:tcW w:w="4160" w:type="dxa"/>
            <w:noWrap w:val="0"/>
            <w:tcMar>
              <w:top w:w="30" w:type="dxa"/>
              <w:left w:w="150" w:type="dxa"/>
              <w:bottom w:w="30" w:type="dxa"/>
              <w:right w:w="150" w:type="dxa"/>
            </w:tcMar>
            <w:vAlign w:val="center"/>
          </w:tcPr>
          <w:p>
            <w:pPr>
              <w:rPr>
                <w:color w:val="auto"/>
                <w:highlight w:val="none"/>
              </w:rPr>
            </w:pPr>
            <w:r>
              <w:rPr>
                <w:color w:val="auto"/>
                <w:highlight w:val="none"/>
              </w:rPr>
              <w:t>100以下</w:t>
            </w:r>
          </w:p>
        </w:tc>
        <w:tc>
          <w:tcPr>
            <w:tcW w:w="1280" w:type="dxa"/>
            <w:noWrap w:val="0"/>
            <w:tcMar>
              <w:top w:w="30" w:type="dxa"/>
              <w:left w:w="150" w:type="dxa"/>
              <w:bottom w:w="30" w:type="dxa"/>
              <w:right w:w="150" w:type="dxa"/>
            </w:tcMar>
            <w:vAlign w:val="center"/>
          </w:tcPr>
          <w:p>
            <w:pPr>
              <w:rPr>
                <w:color w:val="auto"/>
                <w:highlight w:val="none"/>
              </w:rPr>
            </w:pPr>
            <w:r>
              <w:rPr>
                <w:color w:val="auto"/>
                <w:highlight w:val="none"/>
              </w:rPr>
              <w:t>1.5%</w:t>
            </w:r>
          </w:p>
        </w:tc>
        <w:tc>
          <w:tcPr>
            <w:tcW w:w="1295" w:type="dxa"/>
            <w:noWrap w:val="0"/>
            <w:tcMar>
              <w:top w:w="30" w:type="dxa"/>
              <w:left w:w="150" w:type="dxa"/>
              <w:bottom w:w="30" w:type="dxa"/>
              <w:right w:w="150" w:type="dxa"/>
            </w:tcMar>
            <w:vAlign w:val="center"/>
          </w:tcPr>
          <w:p>
            <w:pPr>
              <w:rPr>
                <w:color w:val="auto"/>
                <w:highlight w:val="none"/>
              </w:rPr>
            </w:pPr>
            <w:r>
              <w:rPr>
                <w:color w:val="auto"/>
                <w:highlight w:val="none"/>
              </w:rPr>
              <w:t>1.5%</w:t>
            </w:r>
          </w:p>
        </w:tc>
        <w:tc>
          <w:tcPr>
            <w:tcW w:w="1280" w:type="dxa"/>
            <w:noWrap w:val="0"/>
            <w:tcMar>
              <w:top w:w="30" w:type="dxa"/>
              <w:left w:w="150" w:type="dxa"/>
              <w:bottom w:w="30" w:type="dxa"/>
              <w:right w:w="150" w:type="dxa"/>
            </w:tcMar>
            <w:vAlign w:val="center"/>
          </w:tcPr>
          <w:p>
            <w:pPr>
              <w:rPr>
                <w:color w:val="auto"/>
                <w:highlight w:val="none"/>
              </w:rPr>
            </w:pPr>
            <w:r>
              <w:rPr>
                <w:rFonts w:hint="eastAsia"/>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blCellSpacing w:w="15" w:type="dxa"/>
        </w:trPr>
        <w:tc>
          <w:tcPr>
            <w:tcW w:w="4160" w:type="dxa"/>
            <w:noWrap w:val="0"/>
            <w:tcMar>
              <w:top w:w="30" w:type="dxa"/>
              <w:left w:w="150" w:type="dxa"/>
              <w:bottom w:w="30" w:type="dxa"/>
              <w:right w:w="150" w:type="dxa"/>
            </w:tcMar>
            <w:vAlign w:val="center"/>
          </w:tcPr>
          <w:p>
            <w:pPr>
              <w:rPr>
                <w:color w:val="auto"/>
                <w:highlight w:val="none"/>
              </w:rPr>
            </w:pPr>
            <w:r>
              <w:rPr>
                <w:color w:val="auto"/>
                <w:highlight w:val="none"/>
              </w:rPr>
              <w:t>100-500</w:t>
            </w:r>
          </w:p>
        </w:tc>
        <w:tc>
          <w:tcPr>
            <w:tcW w:w="1280" w:type="dxa"/>
            <w:noWrap w:val="0"/>
            <w:tcMar>
              <w:top w:w="30" w:type="dxa"/>
              <w:left w:w="150" w:type="dxa"/>
              <w:bottom w:w="30" w:type="dxa"/>
              <w:right w:w="150" w:type="dxa"/>
            </w:tcMar>
            <w:vAlign w:val="center"/>
          </w:tcPr>
          <w:p>
            <w:pPr>
              <w:rPr>
                <w:color w:val="auto"/>
                <w:highlight w:val="none"/>
              </w:rPr>
            </w:pPr>
            <w:r>
              <w:rPr>
                <w:color w:val="auto"/>
                <w:highlight w:val="none"/>
              </w:rPr>
              <w:t>1.1%</w:t>
            </w:r>
          </w:p>
        </w:tc>
        <w:tc>
          <w:tcPr>
            <w:tcW w:w="1295" w:type="dxa"/>
            <w:noWrap w:val="0"/>
            <w:tcMar>
              <w:top w:w="30" w:type="dxa"/>
              <w:left w:w="150" w:type="dxa"/>
              <w:bottom w:w="30" w:type="dxa"/>
              <w:right w:w="150" w:type="dxa"/>
            </w:tcMar>
            <w:vAlign w:val="center"/>
          </w:tcPr>
          <w:p>
            <w:pPr>
              <w:rPr>
                <w:color w:val="auto"/>
                <w:highlight w:val="none"/>
              </w:rPr>
            </w:pPr>
            <w:r>
              <w:rPr>
                <w:color w:val="auto"/>
                <w:highlight w:val="none"/>
              </w:rPr>
              <w:t>0.8%</w:t>
            </w:r>
          </w:p>
        </w:tc>
        <w:tc>
          <w:tcPr>
            <w:tcW w:w="1280" w:type="dxa"/>
            <w:noWrap w:val="0"/>
            <w:tcMar>
              <w:top w:w="30" w:type="dxa"/>
              <w:left w:w="150" w:type="dxa"/>
              <w:bottom w:w="30" w:type="dxa"/>
              <w:right w:w="150" w:type="dxa"/>
            </w:tcMar>
            <w:vAlign w:val="center"/>
          </w:tcPr>
          <w:p>
            <w:pPr>
              <w:rPr>
                <w:color w:val="auto"/>
                <w:highlight w:val="none"/>
              </w:rPr>
            </w:pPr>
            <w:r>
              <w:rPr>
                <w:rFonts w:hint="eastAsia"/>
                <w:color w:val="auto"/>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blCellSpacing w:w="15" w:type="dxa"/>
        </w:trPr>
        <w:tc>
          <w:tcPr>
            <w:tcW w:w="4160" w:type="dxa"/>
            <w:noWrap w:val="0"/>
            <w:tcMar>
              <w:top w:w="30" w:type="dxa"/>
              <w:left w:w="150" w:type="dxa"/>
              <w:bottom w:w="30" w:type="dxa"/>
              <w:right w:w="150" w:type="dxa"/>
            </w:tcMar>
            <w:vAlign w:val="center"/>
          </w:tcPr>
          <w:p>
            <w:pPr>
              <w:rPr>
                <w:color w:val="auto"/>
                <w:highlight w:val="none"/>
              </w:rPr>
            </w:pPr>
            <w:r>
              <w:rPr>
                <w:color w:val="auto"/>
                <w:highlight w:val="none"/>
              </w:rPr>
              <w:t>500-1000</w:t>
            </w:r>
          </w:p>
        </w:tc>
        <w:tc>
          <w:tcPr>
            <w:tcW w:w="1280" w:type="dxa"/>
            <w:noWrap w:val="0"/>
            <w:tcMar>
              <w:top w:w="30" w:type="dxa"/>
              <w:left w:w="150" w:type="dxa"/>
              <w:bottom w:w="30" w:type="dxa"/>
              <w:right w:w="150" w:type="dxa"/>
            </w:tcMar>
            <w:vAlign w:val="center"/>
          </w:tcPr>
          <w:p>
            <w:pPr>
              <w:rPr>
                <w:color w:val="auto"/>
                <w:highlight w:val="none"/>
              </w:rPr>
            </w:pPr>
            <w:r>
              <w:rPr>
                <w:color w:val="auto"/>
                <w:highlight w:val="none"/>
              </w:rPr>
              <w:t>0.8%</w:t>
            </w:r>
          </w:p>
        </w:tc>
        <w:tc>
          <w:tcPr>
            <w:tcW w:w="1295" w:type="dxa"/>
            <w:noWrap w:val="0"/>
            <w:tcMar>
              <w:top w:w="30" w:type="dxa"/>
              <w:left w:w="150" w:type="dxa"/>
              <w:bottom w:w="30" w:type="dxa"/>
              <w:right w:w="150" w:type="dxa"/>
            </w:tcMar>
            <w:vAlign w:val="center"/>
          </w:tcPr>
          <w:p>
            <w:pPr>
              <w:rPr>
                <w:color w:val="auto"/>
                <w:highlight w:val="none"/>
              </w:rPr>
            </w:pPr>
            <w:r>
              <w:rPr>
                <w:color w:val="auto"/>
                <w:highlight w:val="none"/>
              </w:rPr>
              <w:t>0.45%</w:t>
            </w:r>
          </w:p>
        </w:tc>
        <w:tc>
          <w:tcPr>
            <w:tcW w:w="1280" w:type="dxa"/>
            <w:noWrap w:val="0"/>
            <w:tcMar>
              <w:top w:w="30" w:type="dxa"/>
              <w:left w:w="150" w:type="dxa"/>
              <w:bottom w:w="30" w:type="dxa"/>
              <w:right w:w="150" w:type="dxa"/>
            </w:tcMar>
            <w:vAlign w:val="center"/>
          </w:tcPr>
          <w:p>
            <w:pPr>
              <w:rPr>
                <w:color w:val="auto"/>
                <w:highlight w:val="none"/>
              </w:rPr>
            </w:pPr>
            <w:r>
              <w:rPr>
                <w:rFonts w:hint="eastAsia"/>
                <w:color w:val="auto"/>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blCellSpacing w:w="15" w:type="dxa"/>
        </w:trPr>
        <w:tc>
          <w:tcPr>
            <w:tcW w:w="4160" w:type="dxa"/>
            <w:noWrap w:val="0"/>
            <w:tcMar>
              <w:top w:w="30" w:type="dxa"/>
              <w:left w:w="150" w:type="dxa"/>
              <w:bottom w:w="30" w:type="dxa"/>
              <w:right w:w="150" w:type="dxa"/>
            </w:tcMar>
            <w:vAlign w:val="center"/>
          </w:tcPr>
          <w:p>
            <w:pPr>
              <w:rPr>
                <w:color w:val="auto"/>
                <w:highlight w:val="none"/>
              </w:rPr>
            </w:pPr>
            <w:r>
              <w:rPr>
                <w:color w:val="auto"/>
                <w:highlight w:val="none"/>
              </w:rPr>
              <w:t>1000-5000</w:t>
            </w:r>
          </w:p>
        </w:tc>
        <w:tc>
          <w:tcPr>
            <w:tcW w:w="1280" w:type="dxa"/>
            <w:noWrap w:val="0"/>
            <w:tcMar>
              <w:top w:w="30" w:type="dxa"/>
              <w:left w:w="150" w:type="dxa"/>
              <w:bottom w:w="30" w:type="dxa"/>
              <w:right w:w="150" w:type="dxa"/>
            </w:tcMar>
            <w:vAlign w:val="center"/>
          </w:tcPr>
          <w:p>
            <w:pPr>
              <w:rPr>
                <w:color w:val="auto"/>
                <w:highlight w:val="none"/>
              </w:rPr>
            </w:pPr>
            <w:r>
              <w:rPr>
                <w:color w:val="auto"/>
                <w:highlight w:val="none"/>
              </w:rPr>
              <w:t>0.5%</w:t>
            </w:r>
          </w:p>
        </w:tc>
        <w:tc>
          <w:tcPr>
            <w:tcW w:w="1295" w:type="dxa"/>
            <w:noWrap w:val="0"/>
            <w:tcMar>
              <w:top w:w="30" w:type="dxa"/>
              <w:left w:w="150" w:type="dxa"/>
              <w:bottom w:w="30" w:type="dxa"/>
              <w:right w:w="150" w:type="dxa"/>
            </w:tcMar>
            <w:vAlign w:val="center"/>
          </w:tcPr>
          <w:p>
            <w:pPr>
              <w:rPr>
                <w:color w:val="auto"/>
                <w:highlight w:val="none"/>
              </w:rPr>
            </w:pPr>
            <w:r>
              <w:rPr>
                <w:color w:val="auto"/>
                <w:highlight w:val="none"/>
              </w:rPr>
              <w:t>0.25%</w:t>
            </w:r>
          </w:p>
        </w:tc>
        <w:tc>
          <w:tcPr>
            <w:tcW w:w="1280" w:type="dxa"/>
            <w:noWrap w:val="0"/>
            <w:tcMar>
              <w:top w:w="30" w:type="dxa"/>
              <w:left w:w="150" w:type="dxa"/>
              <w:bottom w:w="30" w:type="dxa"/>
              <w:right w:w="150" w:type="dxa"/>
            </w:tcMar>
            <w:vAlign w:val="center"/>
          </w:tcPr>
          <w:p>
            <w:pPr>
              <w:rPr>
                <w:color w:val="auto"/>
                <w:highlight w:val="none"/>
              </w:rPr>
            </w:pPr>
            <w:r>
              <w:rPr>
                <w:rFonts w:hint="eastAsia"/>
                <w:color w:val="auto"/>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blCellSpacing w:w="15" w:type="dxa"/>
        </w:trPr>
        <w:tc>
          <w:tcPr>
            <w:tcW w:w="4160" w:type="dxa"/>
            <w:noWrap w:val="0"/>
            <w:tcMar>
              <w:top w:w="30" w:type="dxa"/>
              <w:left w:w="150" w:type="dxa"/>
              <w:bottom w:w="30" w:type="dxa"/>
              <w:right w:w="150" w:type="dxa"/>
            </w:tcMar>
            <w:vAlign w:val="center"/>
          </w:tcPr>
          <w:p>
            <w:pPr>
              <w:rPr>
                <w:color w:val="auto"/>
                <w:highlight w:val="none"/>
              </w:rPr>
            </w:pPr>
            <w:r>
              <w:rPr>
                <w:color w:val="auto"/>
                <w:highlight w:val="none"/>
              </w:rPr>
              <w:t>5000-10000</w:t>
            </w:r>
          </w:p>
        </w:tc>
        <w:tc>
          <w:tcPr>
            <w:tcW w:w="1280" w:type="dxa"/>
            <w:noWrap w:val="0"/>
            <w:tcMar>
              <w:top w:w="30" w:type="dxa"/>
              <w:left w:w="150" w:type="dxa"/>
              <w:bottom w:w="30" w:type="dxa"/>
              <w:right w:w="150" w:type="dxa"/>
            </w:tcMar>
            <w:vAlign w:val="center"/>
          </w:tcPr>
          <w:p>
            <w:pPr>
              <w:rPr>
                <w:color w:val="auto"/>
                <w:highlight w:val="none"/>
              </w:rPr>
            </w:pPr>
            <w:r>
              <w:rPr>
                <w:color w:val="auto"/>
                <w:highlight w:val="none"/>
              </w:rPr>
              <w:t>0.25%</w:t>
            </w:r>
          </w:p>
        </w:tc>
        <w:tc>
          <w:tcPr>
            <w:tcW w:w="1295" w:type="dxa"/>
            <w:noWrap w:val="0"/>
            <w:tcMar>
              <w:top w:w="30" w:type="dxa"/>
              <w:left w:w="150" w:type="dxa"/>
              <w:bottom w:w="30" w:type="dxa"/>
              <w:right w:w="150" w:type="dxa"/>
            </w:tcMar>
            <w:vAlign w:val="center"/>
          </w:tcPr>
          <w:p>
            <w:pPr>
              <w:rPr>
                <w:color w:val="auto"/>
                <w:highlight w:val="none"/>
              </w:rPr>
            </w:pPr>
            <w:r>
              <w:rPr>
                <w:color w:val="auto"/>
                <w:highlight w:val="none"/>
              </w:rPr>
              <w:t>0.1%</w:t>
            </w:r>
          </w:p>
        </w:tc>
        <w:tc>
          <w:tcPr>
            <w:tcW w:w="1280" w:type="dxa"/>
            <w:noWrap w:val="0"/>
            <w:tcMar>
              <w:top w:w="30" w:type="dxa"/>
              <w:left w:w="150" w:type="dxa"/>
              <w:bottom w:w="30" w:type="dxa"/>
              <w:right w:w="150" w:type="dxa"/>
            </w:tcMar>
            <w:vAlign w:val="center"/>
          </w:tcPr>
          <w:p>
            <w:pPr>
              <w:rPr>
                <w:color w:val="auto"/>
                <w:highlight w:val="none"/>
              </w:rPr>
            </w:pPr>
            <w:r>
              <w:rPr>
                <w:rFonts w:hint="eastAsia"/>
                <w:color w:val="auto"/>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blCellSpacing w:w="15" w:type="dxa"/>
        </w:trPr>
        <w:tc>
          <w:tcPr>
            <w:tcW w:w="4160" w:type="dxa"/>
            <w:noWrap w:val="0"/>
            <w:tcMar>
              <w:top w:w="30" w:type="dxa"/>
              <w:left w:w="150" w:type="dxa"/>
              <w:bottom w:w="30" w:type="dxa"/>
              <w:right w:w="150" w:type="dxa"/>
            </w:tcMar>
            <w:vAlign w:val="center"/>
          </w:tcPr>
          <w:p>
            <w:pPr>
              <w:rPr>
                <w:color w:val="auto"/>
                <w:highlight w:val="none"/>
              </w:rPr>
            </w:pPr>
            <w:r>
              <w:rPr>
                <w:color w:val="auto"/>
                <w:highlight w:val="none"/>
              </w:rPr>
              <w:t>10000-100000</w:t>
            </w:r>
          </w:p>
        </w:tc>
        <w:tc>
          <w:tcPr>
            <w:tcW w:w="1280" w:type="dxa"/>
            <w:noWrap w:val="0"/>
            <w:tcMar>
              <w:top w:w="30" w:type="dxa"/>
              <w:left w:w="150" w:type="dxa"/>
              <w:bottom w:w="30" w:type="dxa"/>
              <w:right w:w="150" w:type="dxa"/>
            </w:tcMar>
            <w:vAlign w:val="center"/>
          </w:tcPr>
          <w:p>
            <w:pPr>
              <w:rPr>
                <w:color w:val="auto"/>
                <w:highlight w:val="none"/>
              </w:rPr>
            </w:pPr>
            <w:r>
              <w:rPr>
                <w:color w:val="auto"/>
                <w:highlight w:val="none"/>
              </w:rPr>
              <w:t>0.05%</w:t>
            </w:r>
          </w:p>
        </w:tc>
        <w:tc>
          <w:tcPr>
            <w:tcW w:w="1295" w:type="dxa"/>
            <w:noWrap w:val="0"/>
            <w:tcMar>
              <w:top w:w="30" w:type="dxa"/>
              <w:left w:w="150" w:type="dxa"/>
              <w:bottom w:w="30" w:type="dxa"/>
              <w:right w:w="150" w:type="dxa"/>
            </w:tcMar>
            <w:vAlign w:val="center"/>
          </w:tcPr>
          <w:p>
            <w:pPr>
              <w:rPr>
                <w:color w:val="auto"/>
                <w:highlight w:val="none"/>
              </w:rPr>
            </w:pPr>
            <w:r>
              <w:rPr>
                <w:color w:val="auto"/>
                <w:highlight w:val="none"/>
              </w:rPr>
              <w:t>0.05%</w:t>
            </w:r>
          </w:p>
        </w:tc>
        <w:tc>
          <w:tcPr>
            <w:tcW w:w="1280" w:type="dxa"/>
            <w:noWrap w:val="0"/>
            <w:tcMar>
              <w:top w:w="30" w:type="dxa"/>
              <w:left w:w="150" w:type="dxa"/>
              <w:bottom w:w="30" w:type="dxa"/>
              <w:right w:w="150" w:type="dxa"/>
            </w:tcMar>
            <w:vAlign w:val="center"/>
          </w:tcPr>
          <w:p>
            <w:pPr>
              <w:rPr>
                <w:color w:val="auto"/>
                <w:highlight w:val="none"/>
              </w:rPr>
            </w:pPr>
            <w:r>
              <w:rPr>
                <w:color w:val="auto"/>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tblCellSpacing w:w="15" w:type="dxa"/>
        </w:trPr>
        <w:tc>
          <w:tcPr>
            <w:tcW w:w="4160" w:type="dxa"/>
            <w:noWrap w:val="0"/>
            <w:tcMar>
              <w:top w:w="30" w:type="dxa"/>
              <w:left w:w="150" w:type="dxa"/>
              <w:bottom w:w="30" w:type="dxa"/>
              <w:right w:w="150" w:type="dxa"/>
            </w:tcMar>
            <w:vAlign w:val="center"/>
          </w:tcPr>
          <w:p>
            <w:pPr>
              <w:rPr>
                <w:color w:val="auto"/>
                <w:highlight w:val="none"/>
              </w:rPr>
            </w:pPr>
            <w:r>
              <w:rPr>
                <w:color w:val="auto"/>
                <w:highlight w:val="none"/>
              </w:rPr>
              <w:t>100000以上</w:t>
            </w:r>
          </w:p>
        </w:tc>
        <w:tc>
          <w:tcPr>
            <w:tcW w:w="1280" w:type="dxa"/>
            <w:noWrap w:val="0"/>
            <w:tcMar>
              <w:top w:w="30" w:type="dxa"/>
              <w:left w:w="150" w:type="dxa"/>
              <w:bottom w:w="30" w:type="dxa"/>
              <w:right w:w="150" w:type="dxa"/>
            </w:tcMar>
            <w:vAlign w:val="center"/>
          </w:tcPr>
          <w:p>
            <w:pPr>
              <w:rPr>
                <w:color w:val="auto"/>
                <w:highlight w:val="none"/>
              </w:rPr>
            </w:pPr>
            <w:r>
              <w:rPr>
                <w:color w:val="auto"/>
                <w:highlight w:val="none"/>
              </w:rPr>
              <w:t>0.01%</w:t>
            </w:r>
          </w:p>
        </w:tc>
        <w:tc>
          <w:tcPr>
            <w:tcW w:w="1295" w:type="dxa"/>
            <w:noWrap w:val="0"/>
            <w:tcMar>
              <w:top w:w="30" w:type="dxa"/>
              <w:left w:w="150" w:type="dxa"/>
              <w:bottom w:w="30" w:type="dxa"/>
              <w:right w:w="150" w:type="dxa"/>
            </w:tcMar>
            <w:vAlign w:val="center"/>
          </w:tcPr>
          <w:p>
            <w:pPr>
              <w:rPr>
                <w:color w:val="auto"/>
                <w:highlight w:val="none"/>
              </w:rPr>
            </w:pPr>
            <w:r>
              <w:rPr>
                <w:color w:val="auto"/>
                <w:highlight w:val="none"/>
              </w:rPr>
              <w:t>0.01%</w:t>
            </w:r>
          </w:p>
        </w:tc>
        <w:tc>
          <w:tcPr>
            <w:tcW w:w="1280" w:type="dxa"/>
            <w:noWrap w:val="0"/>
            <w:tcMar>
              <w:top w:w="30" w:type="dxa"/>
              <w:left w:w="150" w:type="dxa"/>
              <w:bottom w:w="30" w:type="dxa"/>
              <w:right w:w="150" w:type="dxa"/>
            </w:tcMar>
            <w:vAlign w:val="center"/>
          </w:tcPr>
          <w:p>
            <w:pPr>
              <w:rPr>
                <w:color w:val="auto"/>
                <w:highlight w:val="none"/>
              </w:rPr>
            </w:pPr>
            <w:r>
              <w:rPr>
                <w:color w:val="auto"/>
                <w:highlight w:val="none"/>
              </w:rPr>
              <w:t>0.01%</w:t>
            </w:r>
          </w:p>
        </w:tc>
      </w:tr>
    </w:tbl>
    <w:p>
      <w:pPr>
        <w:spacing w:line="360" w:lineRule="auto"/>
        <w:rPr>
          <w:bCs/>
          <w:color w:val="auto"/>
          <w:kern w:val="0"/>
          <w:sz w:val="24"/>
          <w:highlight w:val="none"/>
        </w:rPr>
      </w:pPr>
      <w:r>
        <w:rPr>
          <w:rFonts w:hint="eastAsia"/>
          <w:bCs/>
          <w:color w:val="auto"/>
          <w:kern w:val="0"/>
          <w:sz w:val="24"/>
          <w:highlight w:val="none"/>
          <w:lang w:val="en-US" w:eastAsia="zh-CN"/>
        </w:rPr>
        <w:t>9</w:t>
      </w:r>
      <w:r>
        <w:rPr>
          <w:rFonts w:hint="eastAsia"/>
          <w:bCs/>
          <w:color w:val="auto"/>
          <w:kern w:val="0"/>
          <w:sz w:val="24"/>
          <w:highlight w:val="none"/>
        </w:rPr>
        <w:t>、</w:t>
      </w:r>
      <w:r>
        <w:rPr>
          <w:rFonts w:hAnsi="宋体"/>
          <w:bCs/>
          <w:color w:val="auto"/>
          <w:sz w:val="24"/>
          <w:highlight w:val="none"/>
        </w:rPr>
        <w:t>其他违反法律法规规定行为的</w:t>
      </w:r>
      <w:r>
        <w:rPr>
          <w:rFonts w:hAnsi="宋体"/>
          <w:bCs/>
          <w:color w:val="auto"/>
          <w:kern w:val="0"/>
          <w:sz w:val="24"/>
          <w:highlight w:val="none"/>
        </w:rPr>
        <w:t>。</w:t>
      </w:r>
    </w:p>
    <w:p>
      <w:pPr>
        <w:pStyle w:val="6"/>
        <w:keepNext w:val="0"/>
        <w:keepLines w:val="0"/>
        <w:pageBreakBefore w:val="0"/>
        <w:widowControl/>
        <w:kinsoku/>
        <w:wordWrap/>
        <w:overflowPunct w:val="0"/>
        <w:topLinePunct w:val="0"/>
        <w:autoSpaceDE w:val="0"/>
        <w:autoSpaceDN w:val="0"/>
        <w:bidi w:val="0"/>
        <w:adjustRightInd w:val="0"/>
        <w:snapToGrid w:val="0"/>
        <w:spacing w:before="63" w:beforeLines="20" w:line="360" w:lineRule="auto"/>
        <w:ind w:left="59" w:leftChars="28" w:firstLine="0" w:firstLineChars="0"/>
        <w:textAlignment w:val="baseline"/>
        <w:outlineLvl w:val="1"/>
        <w:rPr>
          <w:rFonts w:ascii="Times New Roman" w:hAnsi="宋体"/>
          <w:b/>
          <w:color w:val="auto"/>
          <w:sz w:val="24"/>
          <w:szCs w:val="24"/>
          <w:highlight w:val="none"/>
        </w:rPr>
      </w:pPr>
      <w:r>
        <w:rPr>
          <w:rFonts w:ascii="Times New Roman" w:hAnsi="宋体"/>
          <w:b/>
          <w:color w:val="auto"/>
          <w:sz w:val="24"/>
          <w:szCs w:val="24"/>
          <w:highlight w:val="none"/>
        </w:rPr>
        <w:t>五、评</w:t>
      </w:r>
      <w:r>
        <w:rPr>
          <w:rFonts w:hint="eastAsia" w:ascii="Times New Roman" w:hAnsi="宋体"/>
          <w:b/>
          <w:color w:val="auto"/>
          <w:sz w:val="24"/>
          <w:szCs w:val="24"/>
          <w:highlight w:val="none"/>
        </w:rPr>
        <w:t>议</w:t>
      </w:r>
    </w:p>
    <w:p>
      <w:pPr>
        <w:spacing w:line="360" w:lineRule="auto"/>
        <w:ind w:firstLine="480" w:firstLineChars="200"/>
        <w:rPr>
          <w:color w:val="auto"/>
          <w:sz w:val="24"/>
          <w:szCs w:val="24"/>
          <w:highlight w:val="none"/>
        </w:rPr>
      </w:pPr>
      <w:r>
        <w:rPr>
          <w:rFonts w:hint="eastAsia"/>
          <w:color w:val="auto"/>
          <w:sz w:val="24"/>
          <w:szCs w:val="24"/>
          <w:highlight w:val="none"/>
        </w:rPr>
        <w:t>投标人应按招标文件规定的投标截止时间前提交投标文件。逾期送达的或者未送达指定地点的投标文件，医院将不予接收。</w:t>
      </w:r>
    </w:p>
    <w:p>
      <w:pPr>
        <w:spacing w:line="360" w:lineRule="auto"/>
        <w:ind w:firstLine="480" w:firstLineChars="200"/>
        <w:rPr>
          <w:bCs/>
          <w:color w:val="auto"/>
          <w:sz w:val="24"/>
          <w:szCs w:val="24"/>
          <w:highlight w:val="none"/>
        </w:rPr>
      </w:pPr>
      <w:r>
        <w:rPr>
          <w:rFonts w:hint="eastAsia"/>
          <w:bCs/>
          <w:color w:val="auto"/>
          <w:sz w:val="24"/>
          <w:szCs w:val="24"/>
          <w:highlight w:val="none"/>
        </w:rPr>
        <w:t>医院将在规定的时间和地点进行开标，投标人的法定代表人或其授权代表应参加开标会并签到。投标人的法定代表人或其授权代表未按时签到的，视同放弃开标监督权利、认可遴选结果。</w:t>
      </w:r>
    </w:p>
    <w:p>
      <w:pPr>
        <w:spacing w:line="360" w:lineRule="auto"/>
        <w:ind w:firstLine="480" w:firstLineChars="200"/>
        <w:rPr>
          <w:bCs/>
          <w:color w:val="auto"/>
          <w:sz w:val="24"/>
          <w:szCs w:val="24"/>
          <w:highlight w:val="none"/>
        </w:rPr>
      </w:pPr>
      <w:r>
        <w:rPr>
          <w:rFonts w:hint="eastAsia"/>
          <w:bCs/>
          <w:color w:val="auto"/>
          <w:sz w:val="24"/>
          <w:szCs w:val="24"/>
          <w:highlight w:val="none"/>
        </w:rPr>
        <w:t>投标截止时间后参加遴选的供应</w:t>
      </w:r>
      <w:r>
        <w:rPr>
          <w:rFonts w:hint="eastAsia"/>
          <w:bCs/>
          <w:color w:val="auto"/>
          <w:sz w:val="24"/>
          <w:szCs w:val="24"/>
          <w:highlight w:val="none"/>
        </w:rPr>
        <w:t>商不足</w:t>
      </w:r>
      <w:r>
        <w:rPr>
          <w:rFonts w:hint="eastAsia"/>
          <w:bCs/>
          <w:color w:val="auto"/>
          <w:sz w:val="24"/>
          <w:szCs w:val="24"/>
          <w:highlight w:val="none"/>
          <w:lang w:val="en-US" w:eastAsia="zh-CN"/>
        </w:rPr>
        <w:t>四</w:t>
      </w:r>
      <w:r>
        <w:rPr>
          <w:rFonts w:hint="eastAsia"/>
          <w:bCs/>
          <w:color w:val="auto"/>
          <w:sz w:val="24"/>
          <w:szCs w:val="24"/>
          <w:highlight w:val="none"/>
        </w:rPr>
        <w:t>家的</w:t>
      </w:r>
      <w:r>
        <w:rPr>
          <w:rFonts w:hint="eastAsia"/>
          <w:bCs/>
          <w:color w:val="auto"/>
          <w:sz w:val="24"/>
          <w:szCs w:val="24"/>
          <w:highlight w:val="none"/>
        </w:rPr>
        <w:t>，应当终止该标项的开标并作废标处理。</w:t>
      </w:r>
    </w:p>
    <w:p>
      <w:pPr>
        <w:spacing w:line="360" w:lineRule="auto"/>
        <w:ind w:firstLine="480" w:firstLineChars="200"/>
        <w:rPr>
          <w:rFonts w:hint="eastAsia"/>
          <w:bCs/>
          <w:color w:val="auto"/>
          <w:sz w:val="24"/>
          <w:szCs w:val="24"/>
          <w:highlight w:val="none"/>
        </w:rPr>
      </w:pPr>
      <w:r>
        <w:rPr>
          <w:rFonts w:hint="eastAsia"/>
          <w:bCs/>
          <w:color w:val="auto"/>
          <w:sz w:val="24"/>
          <w:szCs w:val="24"/>
          <w:highlight w:val="none"/>
        </w:rPr>
        <w:t>实质上响应招标文件要求的投标</w:t>
      </w:r>
      <w:r>
        <w:rPr>
          <w:rFonts w:hint="eastAsia"/>
          <w:bCs/>
          <w:color w:val="auto"/>
          <w:sz w:val="24"/>
          <w:szCs w:val="24"/>
          <w:highlight w:val="none"/>
        </w:rPr>
        <w:t>人不足</w:t>
      </w:r>
      <w:r>
        <w:rPr>
          <w:rFonts w:hint="eastAsia"/>
          <w:bCs/>
          <w:color w:val="auto"/>
          <w:sz w:val="24"/>
          <w:szCs w:val="24"/>
          <w:highlight w:val="none"/>
          <w:lang w:val="en-US" w:eastAsia="zh-CN"/>
        </w:rPr>
        <w:t>四</w:t>
      </w:r>
      <w:r>
        <w:rPr>
          <w:rFonts w:hint="eastAsia"/>
          <w:bCs/>
          <w:color w:val="auto"/>
          <w:sz w:val="24"/>
          <w:szCs w:val="24"/>
          <w:highlight w:val="none"/>
        </w:rPr>
        <w:t>家的</w:t>
      </w:r>
      <w:r>
        <w:rPr>
          <w:rFonts w:hint="eastAsia"/>
          <w:bCs/>
          <w:color w:val="auto"/>
          <w:sz w:val="24"/>
          <w:szCs w:val="24"/>
          <w:highlight w:val="none"/>
        </w:rPr>
        <w:t>，应当作废标处理。</w:t>
      </w:r>
    </w:p>
    <w:p>
      <w:pPr>
        <w:spacing w:line="360" w:lineRule="auto"/>
        <w:ind w:firstLine="480" w:firstLineChars="200"/>
        <w:rPr>
          <w:rFonts w:hint="eastAsia"/>
          <w:color w:val="auto"/>
          <w:sz w:val="24"/>
          <w:szCs w:val="24"/>
          <w:highlight w:val="none"/>
        </w:rPr>
      </w:pPr>
      <w:r>
        <w:rPr>
          <w:rFonts w:hint="eastAsia"/>
          <w:color w:val="auto"/>
          <w:sz w:val="24"/>
          <w:szCs w:val="24"/>
          <w:highlight w:val="none"/>
        </w:rPr>
        <w:t>由医院组织相关人员组成遴选评审小组，在审阅各招标代理机构遴选响应文件后，根据评分标准进行打分，有效综合得分从高往低</w:t>
      </w:r>
      <w:r>
        <w:rPr>
          <w:rFonts w:hint="eastAsia"/>
          <w:color w:val="auto"/>
          <w:sz w:val="24"/>
          <w:szCs w:val="24"/>
          <w:highlight w:val="none"/>
        </w:rPr>
        <w:t>前</w:t>
      </w:r>
      <w:r>
        <w:rPr>
          <w:rFonts w:hint="eastAsia"/>
          <w:color w:val="auto"/>
          <w:sz w:val="24"/>
          <w:szCs w:val="24"/>
          <w:highlight w:val="none"/>
          <w:lang w:val="en-US" w:eastAsia="zh-CN"/>
        </w:rPr>
        <w:t>三</w:t>
      </w:r>
      <w:r>
        <w:rPr>
          <w:rFonts w:hint="eastAsia"/>
          <w:color w:val="auto"/>
          <w:sz w:val="24"/>
          <w:szCs w:val="24"/>
          <w:highlight w:val="none"/>
        </w:rPr>
        <w:t>名</w:t>
      </w:r>
      <w:r>
        <w:rPr>
          <w:rFonts w:hint="eastAsia"/>
          <w:color w:val="auto"/>
          <w:sz w:val="24"/>
          <w:szCs w:val="24"/>
          <w:highlight w:val="none"/>
        </w:rPr>
        <w:t>为中标招标代理机构。</w:t>
      </w:r>
      <w:r>
        <w:rPr>
          <w:color w:val="auto"/>
          <w:sz w:val="24"/>
          <w:szCs w:val="24"/>
          <w:highlight w:val="none"/>
        </w:rPr>
        <w:t>具体评标内容及评分标准等详见《第</w:t>
      </w:r>
      <w:r>
        <w:rPr>
          <w:rFonts w:hint="eastAsia"/>
          <w:color w:val="auto"/>
          <w:sz w:val="24"/>
          <w:szCs w:val="24"/>
          <w:highlight w:val="none"/>
        </w:rPr>
        <w:t>三</w:t>
      </w:r>
      <w:r>
        <w:rPr>
          <w:color w:val="auto"/>
          <w:sz w:val="24"/>
          <w:szCs w:val="24"/>
          <w:highlight w:val="none"/>
        </w:rPr>
        <w:t>章：评</w:t>
      </w:r>
      <w:r>
        <w:rPr>
          <w:rFonts w:hint="eastAsia"/>
          <w:color w:val="auto"/>
          <w:sz w:val="24"/>
          <w:szCs w:val="24"/>
          <w:highlight w:val="none"/>
        </w:rPr>
        <w:t>定内容</w:t>
      </w:r>
      <w:r>
        <w:rPr>
          <w:color w:val="auto"/>
          <w:sz w:val="24"/>
          <w:szCs w:val="24"/>
          <w:highlight w:val="none"/>
        </w:rPr>
        <w:t>及评</w:t>
      </w:r>
      <w:r>
        <w:rPr>
          <w:rFonts w:hint="eastAsia"/>
          <w:color w:val="auto"/>
          <w:sz w:val="24"/>
          <w:szCs w:val="24"/>
          <w:highlight w:val="none"/>
        </w:rPr>
        <w:t>标</w:t>
      </w:r>
      <w:r>
        <w:rPr>
          <w:color w:val="auto"/>
          <w:sz w:val="24"/>
          <w:szCs w:val="24"/>
          <w:highlight w:val="none"/>
        </w:rPr>
        <w:t>标准》</w:t>
      </w:r>
      <w:r>
        <w:rPr>
          <w:rFonts w:hint="eastAsia"/>
          <w:color w:val="auto"/>
          <w:sz w:val="24"/>
          <w:szCs w:val="24"/>
          <w:highlight w:val="none"/>
        </w:rPr>
        <w:t>。</w:t>
      </w:r>
    </w:p>
    <w:p>
      <w:pPr>
        <w:pStyle w:val="6"/>
        <w:keepNext w:val="0"/>
        <w:keepLines w:val="0"/>
        <w:pageBreakBefore w:val="0"/>
        <w:widowControl/>
        <w:kinsoku/>
        <w:wordWrap/>
        <w:overflowPunct w:val="0"/>
        <w:topLinePunct w:val="0"/>
        <w:autoSpaceDE w:val="0"/>
        <w:autoSpaceDN w:val="0"/>
        <w:bidi w:val="0"/>
        <w:adjustRightInd w:val="0"/>
        <w:snapToGrid w:val="0"/>
        <w:spacing w:before="63" w:beforeLines="20" w:line="360" w:lineRule="auto"/>
        <w:ind w:left="300" w:leftChars="28" w:hanging="241" w:hangingChars="100"/>
        <w:textAlignment w:val="baseline"/>
        <w:outlineLvl w:val="1"/>
        <w:rPr>
          <w:rFonts w:ascii="Times New Roman" w:hAnsi="宋体"/>
          <w:b/>
          <w:color w:val="auto"/>
          <w:sz w:val="24"/>
          <w:szCs w:val="24"/>
          <w:highlight w:val="none"/>
        </w:rPr>
      </w:pPr>
      <w:r>
        <w:rPr>
          <w:rFonts w:ascii="Times New Roman" w:hAnsi="宋体"/>
          <w:b/>
          <w:color w:val="auto"/>
          <w:sz w:val="24"/>
          <w:szCs w:val="24"/>
          <w:highlight w:val="none"/>
        </w:rPr>
        <w:t>六、授予合同</w:t>
      </w:r>
    </w:p>
    <w:p>
      <w:pPr>
        <w:spacing w:line="360" w:lineRule="auto"/>
        <w:ind w:firstLine="480" w:firstLineChars="200"/>
        <w:rPr>
          <w:rFonts w:hint="eastAsia"/>
          <w:color w:val="auto"/>
          <w:sz w:val="24"/>
          <w:szCs w:val="24"/>
          <w:highlight w:val="none"/>
        </w:rPr>
      </w:pPr>
      <w:r>
        <w:rPr>
          <w:rFonts w:hint="eastAsia"/>
          <w:color w:val="auto"/>
          <w:sz w:val="24"/>
          <w:szCs w:val="24"/>
          <w:highlight w:val="none"/>
        </w:rPr>
        <w:t>（一）评标结果：评审小组根据评分标准，评出中标的招标代理代理机构。</w:t>
      </w:r>
    </w:p>
    <w:p>
      <w:pPr>
        <w:spacing w:line="360" w:lineRule="auto"/>
        <w:ind w:firstLine="480" w:firstLineChars="200"/>
        <w:rPr>
          <w:rFonts w:hint="eastAsia"/>
          <w:color w:val="auto"/>
          <w:sz w:val="24"/>
          <w:szCs w:val="24"/>
          <w:highlight w:val="none"/>
        </w:rPr>
      </w:pPr>
      <w:r>
        <w:rPr>
          <w:rFonts w:hint="eastAsia"/>
          <w:color w:val="auto"/>
          <w:sz w:val="24"/>
          <w:szCs w:val="24"/>
          <w:highlight w:val="none"/>
        </w:rPr>
        <w:t>（二）中标通知和合同授予：医院将以书面形式发出《中标通知书》。《中标通知书》将作为签订合同的依据。</w:t>
      </w:r>
    </w:p>
    <w:p>
      <w:pPr>
        <w:spacing w:line="360" w:lineRule="auto"/>
        <w:ind w:firstLine="643" w:firstLineChars="200"/>
        <w:rPr>
          <w:b/>
          <w:bCs/>
          <w:color w:val="auto"/>
          <w:sz w:val="32"/>
          <w:highlight w:val="none"/>
        </w:rPr>
      </w:pPr>
      <w:r>
        <w:rPr>
          <w:b/>
          <w:bCs/>
          <w:color w:val="auto"/>
          <w:sz w:val="32"/>
          <w:highlight w:val="none"/>
        </w:rPr>
        <w:br w:type="page"/>
      </w:r>
    </w:p>
    <w:p>
      <w:pPr>
        <w:spacing w:line="360" w:lineRule="auto"/>
        <w:ind w:firstLine="643" w:firstLineChars="200"/>
        <w:jc w:val="center"/>
        <w:rPr>
          <w:b/>
          <w:color w:val="auto"/>
          <w:sz w:val="32"/>
          <w:szCs w:val="32"/>
          <w:highlight w:val="none"/>
        </w:rPr>
      </w:pPr>
      <w:r>
        <w:rPr>
          <w:rFonts w:hAnsi="宋体"/>
          <w:b/>
          <w:bCs/>
          <w:color w:val="auto"/>
          <w:sz w:val="32"/>
          <w:highlight w:val="none"/>
        </w:rPr>
        <w:t>第</w:t>
      </w:r>
      <w:r>
        <w:rPr>
          <w:rFonts w:hint="eastAsia" w:hAnsi="宋体"/>
          <w:b/>
          <w:bCs/>
          <w:color w:val="auto"/>
          <w:sz w:val="32"/>
          <w:highlight w:val="none"/>
        </w:rPr>
        <w:t>三</w:t>
      </w:r>
      <w:r>
        <w:rPr>
          <w:rFonts w:hAnsi="宋体"/>
          <w:b/>
          <w:bCs/>
          <w:color w:val="auto"/>
          <w:sz w:val="32"/>
          <w:highlight w:val="none"/>
        </w:rPr>
        <w:t>章评定内容及评标标准</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由评审小组在审阅各招标代理机构遴选响应文件后，根据以下评分标准进行打分，满分为100分，得分最高的前</w:t>
      </w:r>
      <w:r>
        <w:rPr>
          <w:rFonts w:hint="eastAsia" w:ascii="宋体" w:hAnsi="宋体" w:eastAsia="宋体" w:cs="宋体"/>
          <w:bCs/>
          <w:color w:val="auto"/>
          <w:sz w:val="24"/>
          <w:szCs w:val="24"/>
          <w:highlight w:val="none"/>
          <w:lang w:val="en-US" w:eastAsia="zh-CN"/>
        </w:rPr>
        <w:t>三</w:t>
      </w:r>
      <w:r>
        <w:rPr>
          <w:rFonts w:hint="eastAsia" w:ascii="宋体" w:hAnsi="宋体" w:eastAsia="宋体" w:cs="宋体"/>
          <w:bCs/>
          <w:color w:val="auto"/>
          <w:sz w:val="24"/>
          <w:szCs w:val="24"/>
          <w:highlight w:val="none"/>
        </w:rPr>
        <w:t>位为遴选入围单位。</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一、评审小组对遴选响应文件进行符合性审阅。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二、对通过符合性检查的遴选响应文件，根据以下评标标准进行打分。</w:t>
      </w:r>
    </w:p>
    <w:tbl>
      <w:tblPr>
        <w:tblStyle w:val="12"/>
        <w:tblW w:w="863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340"/>
        <w:gridCol w:w="566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800"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40"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tc>
        <w:tc>
          <w:tcPr>
            <w:tcW w:w="5669"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具体描述</w:t>
            </w:r>
          </w:p>
        </w:tc>
        <w:tc>
          <w:tcPr>
            <w:tcW w:w="830"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800" w:type="dxa"/>
            <w:vMerge w:val="restart"/>
            <w:vAlign w:val="center"/>
          </w:tcPr>
          <w:p>
            <w:pPr>
              <w:pStyle w:val="6"/>
              <w:snapToGrid w:val="0"/>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40" w:type="dxa"/>
            <w:vMerge w:val="restart"/>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针对本项目制定的招标代理</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方案</w:t>
            </w:r>
          </w:p>
        </w:tc>
        <w:tc>
          <w:tcPr>
            <w:tcW w:w="5669"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招标代理服务大纲内容是否全面、合理0-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830" w:type="dxa"/>
            <w:noWrap/>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80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134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5669"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提供前期采购计划金财系统申报</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830" w:type="dxa"/>
            <w:noWrap/>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80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134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5669"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各类拟招项目招标文件编制质量保证措施0-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c>
          <w:tcPr>
            <w:tcW w:w="830" w:type="dxa"/>
            <w:noWrap/>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80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134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5669"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针对本次医院采购内容，提出合理化建议以及提高招标代理（政府采购）工作质量和工作效率的意见建议0-2分。</w:t>
            </w:r>
          </w:p>
        </w:tc>
        <w:tc>
          <w:tcPr>
            <w:tcW w:w="830" w:type="dxa"/>
            <w:noWrap/>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0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134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5669"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招标代理人员的廉洁措施是否可行、处罚承诺是否明确。0-2分。</w:t>
            </w:r>
          </w:p>
        </w:tc>
        <w:tc>
          <w:tcPr>
            <w:tcW w:w="830" w:type="dxa"/>
            <w:noWrap/>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80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134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5669"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评审现场组织及投诉、质疑等事件中的及时、有效处理能力0-2分。</w:t>
            </w:r>
          </w:p>
        </w:tc>
        <w:tc>
          <w:tcPr>
            <w:tcW w:w="830" w:type="dxa"/>
            <w:noWrap/>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0" w:type="dxa"/>
            <w:vMerge w:val="restart"/>
            <w:vAlign w:val="center"/>
          </w:tcPr>
          <w:p>
            <w:pPr>
              <w:pStyle w:val="6"/>
              <w:snapToGrid w:val="0"/>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40" w:type="dxa"/>
            <w:vMerge w:val="restart"/>
            <w:vAlign w:val="center"/>
          </w:tcPr>
          <w:p>
            <w:pPr>
              <w:pStyle w:val="6"/>
              <w:snapToGrid w:val="0"/>
              <w:spacing w:line="360" w:lineRule="auto"/>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rPr>
              <w:t>招标代理机构综合实力</w:t>
            </w:r>
          </w:p>
        </w:tc>
        <w:tc>
          <w:tcPr>
            <w:tcW w:w="5669" w:type="dxa"/>
            <w:vAlign w:val="center"/>
          </w:tcPr>
          <w:p>
            <w:pPr>
              <w:pStyle w:val="6"/>
              <w:snapToGrid w:val="0"/>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在中国国际招标网完成国际招标代理机构网上登记并备案,具备国际招标项目代理能力得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rPr>
              <w:t>提供证明资料,否则不得分。</w:t>
            </w:r>
          </w:p>
        </w:tc>
        <w:tc>
          <w:tcPr>
            <w:tcW w:w="830" w:type="dxa"/>
            <w:noWrap/>
            <w:vAlign w:val="center"/>
          </w:tcPr>
          <w:p>
            <w:pPr>
              <w:spacing w:before="78" w:line="220" w:lineRule="auto"/>
              <w:jc w:val="both"/>
              <w:rPr>
                <w:rFonts w:hint="eastAsia" w:ascii="宋体" w:hAnsi="宋体" w:eastAsia="宋体" w:cs="宋体"/>
                <w:color w:val="auto"/>
                <w:spacing w:val="5"/>
                <w:kern w:val="2"/>
                <w:sz w:val="24"/>
                <w:szCs w:val="24"/>
                <w:highlight w:val="none"/>
                <w:lang w:val="en-US" w:eastAsia="zh-CN" w:bidi="ar-SA"/>
              </w:rPr>
            </w:pPr>
            <w:r>
              <w:rPr>
                <w:rFonts w:hint="eastAsia" w:ascii="宋体" w:hAnsi="宋体" w:eastAsia="宋体" w:cs="宋体"/>
                <w:color w:val="auto"/>
                <w:spacing w:val="5"/>
                <w:kern w:val="2"/>
                <w:sz w:val="24"/>
                <w:szCs w:val="24"/>
                <w:highlight w:val="none"/>
                <w:lang w:val="en-US" w:eastAsia="zh-CN" w:bidi="ar-SA"/>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134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5669"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入围浙江省2021年政府采购代理机构评价名单</w:t>
            </w:r>
            <w:r>
              <w:rPr>
                <w:rFonts w:hint="eastAsia" w:ascii="宋体" w:hAnsi="宋体" w:eastAsia="宋体" w:cs="宋体"/>
                <w:color w:val="auto"/>
                <w:sz w:val="24"/>
                <w:szCs w:val="24"/>
                <w:highlight w:val="none"/>
                <w:lang w:val="en-US" w:eastAsia="zh-CN"/>
              </w:rPr>
              <w:t>得5分</w:t>
            </w:r>
            <w:r>
              <w:rPr>
                <w:rFonts w:hint="eastAsia" w:ascii="宋体" w:hAnsi="宋体" w:eastAsia="宋体" w:cs="宋体"/>
                <w:color w:val="auto"/>
                <w:sz w:val="24"/>
                <w:szCs w:val="24"/>
                <w:highlight w:val="none"/>
                <w:lang w:eastAsia="zh-CN"/>
              </w:rPr>
              <w:t>。</w:t>
            </w:r>
          </w:p>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提供证明资料,否则不得分。</w:t>
            </w:r>
          </w:p>
        </w:tc>
        <w:tc>
          <w:tcPr>
            <w:tcW w:w="830" w:type="dxa"/>
            <w:noWrap/>
            <w:vAlign w:val="center"/>
          </w:tcPr>
          <w:p>
            <w:pPr>
              <w:spacing w:before="78" w:line="220" w:lineRule="auto"/>
              <w:jc w:val="both"/>
              <w:rPr>
                <w:rFonts w:hint="eastAsia" w:ascii="宋体" w:hAnsi="宋体" w:eastAsia="宋体" w:cs="宋体"/>
                <w:color w:val="auto"/>
                <w:spacing w:val="5"/>
                <w:kern w:val="2"/>
                <w:sz w:val="24"/>
                <w:szCs w:val="24"/>
                <w:highlight w:val="none"/>
                <w:lang w:val="en-US" w:eastAsia="zh-CN" w:bidi="ar-SA"/>
              </w:rPr>
            </w:pPr>
            <w:r>
              <w:rPr>
                <w:rFonts w:hint="eastAsia" w:ascii="宋体" w:hAnsi="宋体" w:eastAsia="宋体" w:cs="宋体"/>
                <w:color w:val="auto"/>
                <w:spacing w:val="5"/>
                <w:kern w:val="2"/>
                <w:sz w:val="24"/>
                <w:szCs w:val="24"/>
                <w:highlight w:val="none"/>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134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5669"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1、自有永嘉专家库名单</w:t>
            </w:r>
            <w:r>
              <w:rPr>
                <w:rFonts w:hint="eastAsia" w:ascii="宋体" w:hAnsi="宋体" w:eastAsia="宋体" w:cs="宋体"/>
                <w:color w:val="auto"/>
                <w:sz w:val="24"/>
                <w:szCs w:val="24"/>
                <w:highlight w:val="none"/>
                <w:lang w:val="en-US" w:eastAsia="zh-CN"/>
              </w:rPr>
              <w:t>（除医疗设备专业）</w:t>
            </w:r>
            <w:r>
              <w:rPr>
                <w:rFonts w:hint="eastAsia" w:ascii="宋体" w:hAnsi="宋体" w:eastAsia="宋体" w:cs="宋体"/>
                <w:color w:val="auto"/>
                <w:sz w:val="24"/>
                <w:szCs w:val="24"/>
                <w:highlight w:val="none"/>
                <w:lang w:val="en-US" w:eastAsia="zh-CN"/>
              </w:rPr>
              <w:t>，且专家人数大于15人的，0-3分；</w:t>
            </w:r>
          </w:p>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2、自有温州专家库名单</w:t>
            </w:r>
            <w:r>
              <w:rPr>
                <w:rFonts w:hint="eastAsia" w:ascii="宋体" w:hAnsi="宋体" w:eastAsia="宋体" w:cs="宋体"/>
                <w:color w:val="auto"/>
                <w:sz w:val="24"/>
                <w:szCs w:val="24"/>
                <w:highlight w:val="none"/>
                <w:lang w:val="en-US" w:eastAsia="zh-CN"/>
              </w:rPr>
              <w:t>（除医疗设备专业）</w:t>
            </w:r>
            <w:r>
              <w:rPr>
                <w:rFonts w:hint="eastAsia" w:ascii="宋体" w:hAnsi="宋体" w:eastAsia="宋体" w:cs="宋体"/>
                <w:color w:val="auto"/>
                <w:sz w:val="24"/>
                <w:szCs w:val="24"/>
                <w:highlight w:val="none"/>
                <w:lang w:val="en-US" w:eastAsia="zh-CN"/>
              </w:rPr>
              <w:t>，且专家人数大于30人的，0-3分；</w:t>
            </w:r>
          </w:p>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3、专家库名单包含医疗设备专业，且专家人数</w:t>
            </w:r>
            <w:r>
              <w:rPr>
                <w:rFonts w:hint="eastAsia" w:ascii="宋体" w:hAnsi="宋体" w:eastAsia="宋体" w:cs="宋体"/>
                <w:color w:val="auto"/>
                <w:sz w:val="24"/>
                <w:szCs w:val="24"/>
                <w:highlight w:val="none"/>
                <w:lang w:val="en-US" w:eastAsia="zh-CN"/>
              </w:rPr>
              <w:t>大于21人</w:t>
            </w:r>
            <w:r>
              <w:rPr>
                <w:rFonts w:hint="eastAsia" w:ascii="宋体" w:hAnsi="宋体" w:eastAsia="宋体" w:cs="宋体"/>
                <w:color w:val="auto"/>
                <w:sz w:val="24"/>
                <w:szCs w:val="24"/>
                <w:highlight w:val="none"/>
                <w:lang w:val="en-US" w:eastAsia="zh-CN"/>
              </w:rPr>
              <w:t>的，0-3分；</w:t>
            </w:r>
          </w:p>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提供专家姓名、单位、职称、专业、手机号码（显示不少于8位），</w:t>
            </w:r>
            <w:r>
              <w:rPr>
                <w:rFonts w:hint="eastAsia" w:ascii="宋体" w:hAnsi="宋体" w:eastAsia="宋体" w:cs="宋体"/>
                <w:color w:val="auto"/>
                <w:sz w:val="24"/>
                <w:szCs w:val="24"/>
                <w:highlight w:val="none"/>
              </w:rPr>
              <w:t>否则不得分。</w:t>
            </w:r>
          </w:p>
        </w:tc>
        <w:tc>
          <w:tcPr>
            <w:tcW w:w="830" w:type="dxa"/>
            <w:noWrap/>
            <w:vAlign w:val="center"/>
          </w:tcPr>
          <w:p>
            <w:pPr>
              <w:spacing w:before="78" w:line="220" w:lineRule="auto"/>
              <w:jc w:val="both"/>
              <w:rPr>
                <w:rFonts w:hint="eastAsia" w:ascii="宋体" w:hAnsi="宋体" w:eastAsia="宋体" w:cs="宋体"/>
                <w:color w:val="auto"/>
                <w:spacing w:val="5"/>
                <w:kern w:val="2"/>
                <w:sz w:val="24"/>
                <w:szCs w:val="24"/>
                <w:highlight w:val="none"/>
                <w:lang w:val="en-US" w:eastAsia="zh-CN" w:bidi="ar-SA"/>
              </w:rPr>
            </w:pPr>
            <w:r>
              <w:rPr>
                <w:rFonts w:hint="eastAsia" w:ascii="宋体" w:hAnsi="宋体" w:eastAsia="宋体" w:cs="宋体"/>
                <w:color w:val="auto"/>
                <w:spacing w:val="5"/>
                <w:sz w:val="24"/>
                <w:szCs w:val="24"/>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134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5669"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根据服务响应时间及到达采购人时间0-2分；需提供营业执照或办公场地租赁协议或产权证明文件复印件),以上材料均需加盖投标单位公章。</w:t>
            </w:r>
          </w:p>
        </w:tc>
        <w:tc>
          <w:tcPr>
            <w:tcW w:w="830" w:type="dxa"/>
            <w:noWrap/>
            <w:vAlign w:val="center"/>
          </w:tcPr>
          <w:p>
            <w:pPr>
              <w:spacing w:before="78" w:line="220" w:lineRule="auto"/>
              <w:jc w:val="both"/>
              <w:rPr>
                <w:rFonts w:hint="eastAsia" w:ascii="宋体" w:hAnsi="宋体" w:eastAsia="宋体" w:cs="宋体"/>
                <w:color w:val="auto"/>
                <w:spacing w:val="5"/>
                <w:sz w:val="24"/>
                <w:szCs w:val="24"/>
                <w:highlight w:val="none"/>
                <w:lang w:val="en-US" w:eastAsia="zh-CN"/>
              </w:rPr>
            </w:pPr>
            <w:r>
              <w:rPr>
                <w:rFonts w:hint="eastAsia" w:ascii="宋体" w:hAnsi="宋体" w:eastAsia="宋体" w:cs="宋体"/>
                <w:color w:val="auto"/>
                <w:spacing w:val="5"/>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1340" w:type="dxa"/>
            <w:vMerge w:val="continue"/>
            <w:vAlign w:val="center"/>
          </w:tcPr>
          <w:p>
            <w:pPr>
              <w:pStyle w:val="6"/>
              <w:snapToGrid w:val="0"/>
              <w:spacing w:line="360" w:lineRule="auto"/>
              <w:jc w:val="both"/>
              <w:rPr>
                <w:rFonts w:hint="eastAsia" w:ascii="宋体" w:hAnsi="宋体" w:eastAsia="宋体" w:cs="宋体"/>
                <w:color w:val="auto"/>
                <w:kern w:val="0"/>
                <w:sz w:val="24"/>
                <w:szCs w:val="24"/>
                <w:highlight w:val="none"/>
                <w:lang w:val="en-US" w:eastAsia="zh-CN" w:bidi="ar-SA"/>
              </w:rPr>
            </w:pPr>
          </w:p>
        </w:tc>
        <w:tc>
          <w:tcPr>
            <w:tcW w:w="5669"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永嘉设有开标室、评标室情况：</w:t>
            </w:r>
          </w:p>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1、投标人场地内设有开标室，得1分，开标室有监控的加1分，最高得2分；</w:t>
            </w:r>
          </w:p>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2、投标人场地内设有评标室，得1分，评标室有监控的加1分，评标室有5台及以上台式或笔记本电脑的加1分，最高得3分，评标室须提供场地、监控、某一项目评标现场的证明图片，否则不得分；</w:t>
            </w:r>
          </w:p>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en-US" w:eastAsia="zh-CN"/>
              </w:rPr>
              <w:t>需提供相关证明材料:开展场地面积(提供营业执照或办公场地租赁协议或产权证明文件复印件)、办公产地的照片等,以上材料均需加盖投标单位公章。</w:t>
            </w:r>
          </w:p>
        </w:tc>
        <w:tc>
          <w:tcPr>
            <w:tcW w:w="830" w:type="dxa"/>
            <w:noWrap/>
            <w:vAlign w:val="center"/>
          </w:tcPr>
          <w:p>
            <w:pPr>
              <w:pStyle w:val="6"/>
              <w:snapToGrid w:val="0"/>
              <w:spacing w:line="360" w:lineRule="auto"/>
              <w:jc w:val="both"/>
              <w:rPr>
                <w:rFonts w:hint="eastAsia" w:ascii="宋体" w:hAnsi="宋体" w:eastAsia="宋体" w:cs="宋体"/>
                <w:color w:val="auto"/>
                <w:sz w:val="24"/>
                <w:szCs w:val="24"/>
                <w:highlight w:val="none"/>
              </w:rPr>
            </w:pPr>
          </w:p>
          <w:p>
            <w:pPr>
              <w:pStyle w:val="6"/>
              <w:snapToGrid w:val="0"/>
              <w:spacing w:line="360" w:lineRule="auto"/>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0" w:type="dxa"/>
            <w:vAlign w:val="center"/>
          </w:tcPr>
          <w:p>
            <w:pPr>
              <w:pStyle w:val="6"/>
              <w:snapToGrid w:val="0"/>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40"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医院采购项目代理服务经验</w:t>
            </w:r>
          </w:p>
        </w:tc>
        <w:tc>
          <w:tcPr>
            <w:tcW w:w="5669"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提供20</w:t>
            </w:r>
            <w:r>
              <w:rPr>
                <w:rFonts w:hint="eastAsia" w:ascii="宋体" w:hAnsi="宋体" w:eastAsia="宋体" w:cs="宋体"/>
                <w:color w:val="auto"/>
                <w:sz w:val="24"/>
                <w:szCs w:val="24"/>
                <w:highlight w:val="none"/>
                <w:lang w:val="en-US" w:eastAsia="zh-CN"/>
              </w:rPr>
              <w:t>22</w:t>
            </w:r>
            <w:r>
              <w:rPr>
                <w:rFonts w:hint="eastAsia" w:ascii="宋体" w:hAnsi="宋体" w:eastAsia="宋体" w:cs="宋体"/>
                <w:color w:val="auto"/>
                <w:sz w:val="24"/>
                <w:szCs w:val="24"/>
                <w:highlight w:val="none"/>
              </w:rPr>
              <w:t>年以来承接</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甲</w:t>
            </w:r>
            <w:r>
              <w:rPr>
                <w:rFonts w:hint="eastAsia" w:ascii="宋体" w:hAnsi="宋体" w:eastAsia="宋体" w:cs="宋体"/>
                <w:color w:val="auto"/>
                <w:sz w:val="24"/>
                <w:szCs w:val="24"/>
                <w:highlight w:val="none"/>
                <w:lang w:val="en-US" w:eastAsia="zh-CN"/>
              </w:rPr>
              <w:t>及以上</w:t>
            </w:r>
            <w:r>
              <w:rPr>
                <w:rFonts w:hint="eastAsia" w:ascii="宋体" w:hAnsi="宋体" w:eastAsia="宋体" w:cs="宋体"/>
                <w:color w:val="auto"/>
                <w:sz w:val="24"/>
                <w:szCs w:val="24"/>
                <w:highlight w:val="none"/>
              </w:rPr>
              <w:t>医院的采购招标代理服务的服务合同或协议复印件，每提供1个得1分，最高得</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分。</w:t>
            </w:r>
          </w:p>
        </w:tc>
        <w:tc>
          <w:tcPr>
            <w:tcW w:w="830" w:type="dxa"/>
            <w:noWrap/>
            <w:vAlign w:val="center"/>
          </w:tcPr>
          <w:p>
            <w:pPr>
              <w:pStyle w:val="6"/>
              <w:snapToGrid w:val="0"/>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pacing w:val="5"/>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0" w:type="dxa"/>
            <w:vAlign w:val="center"/>
          </w:tcPr>
          <w:p>
            <w:pPr>
              <w:pStyle w:val="6"/>
              <w:snapToGrid w:val="0"/>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40"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rPr>
              <w:t>招标代理机构的内控机制</w:t>
            </w:r>
          </w:p>
        </w:tc>
        <w:tc>
          <w:tcPr>
            <w:tcW w:w="5669"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rPr>
              <w:t>提供相关制度资料。招标代理机构的内控机制 招标业务内部管理体系),横向比较情况酌情给分</w:t>
            </w:r>
            <w:r>
              <w:rPr>
                <w:rFonts w:hint="eastAsia" w:ascii="宋体" w:hAnsi="宋体" w:eastAsia="宋体" w:cs="宋体"/>
                <w:color w:val="auto"/>
                <w:sz w:val="24"/>
                <w:szCs w:val="24"/>
                <w:highlight w:val="none"/>
                <w:lang w:val="en-US" w:eastAsia="zh-CN"/>
              </w:rPr>
              <w:t>0-3分</w:t>
            </w:r>
            <w:r>
              <w:rPr>
                <w:rFonts w:hint="eastAsia" w:ascii="宋体" w:hAnsi="宋体" w:eastAsia="宋体" w:cs="宋体"/>
                <w:color w:val="auto"/>
                <w:sz w:val="24"/>
                <w:szCs w:val="24"/>
                <w:highlight w:val="none"/>
              </w:rPr>
              <w:t>。</w:t>
            </w:r>
          </w:p>
        </w:tc>
        <w:tc>
          <w:tcPr>
            <w:tcW w:w="830" w:type="dxa"/>
            <w:noWrap/>
            <w:vAlign w:val="center"/>
          </w:tcPr>
          <w:p>
            <w:pPr>
              <w:pStyle w:val="6"/>
              <w:snapToGrid w:val="0"/>
              <w:spacing w:line="360" w:lineRule="auto"/>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pacing w:val="5"/>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0" w:type="dxa"/>
            <w:vMerge w:val="restart"/>
            <w:vAlign w:val="center"/>
          </w:tcPr>
          <w:p>
            <w:pPr>
              <w:pStyle w:val="6"/>
              <w:snapToGrid w:val="0"/>
              <w:spacing w:line="360" w:lineRule="auto"/>
              <w:jc w:val="both"/>
              <w:rPr>
                <w:rFonts w:hint="eastAsia" w:ascii="宋体" w:hAnsi="宋体" w:eastAsia="宋体" w:cs="宋体"/>
                <w:color w:val="auto"/>
                <w:sz w:val="24"/>
                <w:szCs w:val="24"/>
                <w:highlight w:val="none"/>
              </w:rPr>
            </w:pPr>
          </w:p>
          <w:p>
            <w:pPr>
              <w:pStyle w:val="6"/>
              <w:snapToGrid w:val="0"/>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40" w:type="dxa"/>
            <w:vMerge w:val="restart"/>
            <w:vAlign w:val="center"/>
          </w:tcPr>
          <w:p>
            <w:pPr>
              <w:pStyle w:val="6"/>
              <w:snapToGrid w:val="0"/>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常驻机构人员情况</w:t>
            </w:r>
          </w:p>
        </w:tc>
        <w:tc>
          <w:tcPr>
            <w:tcW w:w="5669"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为本项目配备1名技术负责人，技术负责人</w:t>
            </w:r>
            <w:r>
              <w:rPr>
                <w:rFonts w:hint="eastAsia" w:ascii="宋体" w:hAnsi="宋体" w:eastAsia="宋体" w:cs="宋体"/>
                <w:color w:val="auto"/>
                <w:spacing w:val="-1"/>
                <w:sz w:val="24"/>
                <w:szCs w:val="24"/>
                <w:highlight w:val="none"/>
              </w:rPr>
              <w:t>持有</w:t>
            </w:r>
            <w:r>
              <w:rPr>
                <w:rFonts w:hint="eastAsia" w:ascii="宋体" w:hAnsi="宋体" w:eastAsia="宋体" w:cs="宋体"/>
                <w:color w:val="auto"/>
                <w:spacing w:val="-1"/>
                <w:sz w:val="24"/>
                <w:szCs w:val="24"/>
                <w:highlight w:val="none"/>
                <w:lang w:eastAsia="zh-CN"/>
              </w:rPr>
              <w:t>招标师证书或者</w:t>
            </w:r>
            <w:r>
              <w:rPr>
                <w:rFonts w:hint="eastAsia" w:ascii="宋体" w:hAnsi="宋体" w:eastAsia="宋体" w:cs="宋体"/>
                <w:color w:val="auto"/>
                <w:spacing w:val="-1"/>
                <w:sz w:val="24"/>
                <w:szCs w:val="24"/>
                <w:highlight w:val="none"/>
              </w:rPr>
              <w:t>"浙江省政府采</w:t>
            </w:r>
            <w:r>
              <w:rPr>
                <w:rFonts w:hint="eastAsia" w:ascii="宋体" w:hAnsi="宋体" w:eastAsia="宋体" w:cs="宋体"/>
                <w:color w:val="auto"/>
                <w:spacing w:val="11"/>
                <w:sz w:val="24"/>
                <w:szCs w:val="24"/>
                <w:highlight w:val="none"/>
              </w:rPr>
              <w:t xml:space="preserve"> </w:t>
            </w:r>
            <w:r>
              <w:rPr>
                <w:rFonts w:hint="eastAsia" w:ascii="宋体" w:hAnsi="宋体" w:eastAsia="宋体" w:cs="宋体"/>
                <w:color w:val="auto"/>
                <w:spacing w:val="4"/>
                <w:sz w:val="24"/>
                <w:szCs w:val="24"/>
                <w:highlight w:val="none"/>
              </w:rPr>
              <w:t>购代理机构从业人员业务培训证书"(以下简称</w:t>
            </w:r>
            <w:r>
              <w:rPr>
                <w:rFonts w:hint="eastAsia" w:ascii="宋体" w:hAnsi="宋体" w:eastAsia="宋体" w:cs="宋体"/>
                <w:color w:val="auto"/>
                <w:spacing w:val="8"/>
                <w:sz w:val="24"/>
                <w:szCs w:val="24"/>
                <w:highlight w:val="none"/>
              </w:rPr>
              <w:t xml:space="preserve"> </w:t>
            </w:r>
            <w:r>
              <w:rPr>
                <w:rFonts w:hint="eastAsia" w:ascii="宋体" w:hAnsi="宋体" w:eastAsia="宋体" w:cs="宋体"/>
                <w:color w:val="auto"/>
                <w:spacing w:val="6"/>
                <w:sz w:val="24"/>
                <w:szCs w:val="24"/>
                <w:highlight w:val="none"/>
              </w:rPr>
              <w:t>"从业证")</w:t>
            </w:r>
            <w:r>
              <w:rPr>
                <w:rFonts w:hint="eastAsia" w:ascii="宋体" w:hAnsi="宋体" w:eastAsia="宋体" w:cs="宋体"/>
                <w:color w:val="auto"/>
                <w:spacing w:val="6"/>
                <w:sz w:val="24"/>
                <w:szCs w:val="24"/>
                <w:highlight w:val="none"/>
                <w:lang w:eastAsia="zh-CN"/>
              </w:rPr>
              <w:t>得</w:t>
            </w:r>
            <w:r>
              <w:rPr>
                <w:rFonts w:hint="eastAsia" w:ascii="宋体" w:hAnsi="宋体" w:eastAsia="宋体" w:cs="宋体"/>
                <w:color w:val="auto"/>
                <w:spacing w:val="6"/>
                <w:sz w:val="24"/>
                <w:szCs w:val="24"/>
                <w:highlight w:val="none"/>
                <w:lang w:val="en-US" w:eastAsia="zh-CN"/>
              </w:rPr>
              <w:t>2分</w:t>
            </w:r>
            <w:r>
              <w:rPr>
                <w:rFonts w:hint="eastAsia" w:ascii="宋体" w:hAnsi="宋体" w:eastAsia="宋体" w:cs="宋体"/>
                <w:color w:val="auto"/>
                <w:spacing w:val="6"/>
                <w:sz w:val="24"/>
                <w:szCs w:val="24"/>
                <w:highlight w:val="none"/>
              </w:rPr>
              <w:t>。</w:t>
            </w:r>
            <w:r>
              <w:rPr>
                <w:rFonts w:hint="eastAsia" w:ascii="宋体" w:hAnsi="宋体" w:eastAsia="宋体" w:cs="宋体"/>
                <w:color w:val="auto"/>
                <w:sz w:val="24"/>
                <w:szCs w:val="24"/>
                <w:highlight w:val="none"/>
                <w:lang w:eastAsia="zh-CN"/>
              </w:rPr>
              <w:t>具有中级</w:t>
            </w:r>
            <w:r>
              <w:rPr>
                <w:rFonts w:hint="eastAsia" w:ascii="宋体" w:hAnsi="宋体" w:eastAsia="宋体" w:cs="宋体"/>
                <w:color w:val="auto"/>
                <w:sz w:val="24"/>
                <w:szCs w:val="24"/>
                <w:highlight w:val="none"/>
                <w:lang w:val="en-US" w:eastAsia="zh-CN"/>
              </w:rPr>
              <w:t>及以上</w:t>
            </w:r>
            <w:r>
              <w:rPr>
                <w:rFonts w:hint="eastAsia" w:ascii="宋体" w:hAnsi="宋体" w:eastAsia="宋体" w:cs="宋体"/>
                <w:color w:val="auto"/>
                <w:sz w:val="24"/>
                <w:szCs w:val="24"/>
                <w:highlight w:val="none"/>
                <w:lang w:eastAsia="zh-CN"/>
              </w:rPr>
              <w:t>工程师证书</w:t>
            </w:r>
            <w:r>
              <w:rPr>
                <w:rFonts w:hint="eastAsia" w:ascii="宋体" w:hAnsi="宋体" w:eastAsia="宋体" w:cs="宋体"/>
                <w:color w:val="auto"/>
                <w:sz w:val="24"/>
                <w:szCs w:val="24"/>
                <w:highlight w:val="none"/>
                <w:lang w:val="en-US" w:eastAsia="zh-CN"/>
              </w:rPr>
              <w:t>加1分</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提供证书复印件</w:t>
            </w:r>
            <w:r>
              <w:rPr>
                <w:rFonts w:hint="eastAsia" w:ascii="宋体" w:hAnsi="宋体" w:eastAsia="宋体" w:cs="宋体"/>
                <w:color w:val="auto"/>
                <w:sz w:val="24"/>
                <w:szCs w:val="24"/>
                <w:highlight w:val="none"/>
                <w:lang w:eastAsia="zh-CN"/>
              </w:rPr>
              <w:t>，不提供不得分，</w:t>
            </w:r>
            <w:r>
              <w:rPr>
                <w:rFonts w:hint="eastAsia" w:ascii="宋体" w:hAnsi="宋体" w:eastAsia="宋体" w:cs="宋体"/>
                <w:color w:val="auto"/>
                <w:sz w:val="24"/>
                <w:szCs w:val="24"/>
                <w:highlight w:val="none"/>
                <w:lang w:val="en-US" w:eastAsia="zh-CN"/>
              </w:rPr>
              <w:t>最高得3分。</w:t>
            </w:r>
          </w:p>
        </w:tc>
        <w:tc>
          <w:tcPr>
            <w:tcW w:w="830" w:type="dxa"/>
            <w:noWrap/>
            <w:vAlign w:val="center"/>
          </w:tcPr>
          <w:p>
            <w:pPr>
              <w:pStyle w:val="6"/>
              <w:snapToGrid w:val="0"/>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pacing w:val="5"/>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1" w:hRule="atLeast"/>
        </w:trPr>
        <w:tc>
          <w:tcPr>
            <w:tcW w:w="80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134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5669"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技术负责人完成过以下一类</w:t>
            </w:r>
            <w:r>
              <w:rPr>
                <w:rFonts w:hint="eastAsia" w:ascii="宋体" w:hAnsi="宋体" w:eastAsia="宋体" w:cs="宋体"/>
                <w:color w:val="auto"/>
                <w:sz w:val="24"/>
                <w:szCs w:val="24"/>
                <w:highlight w:val="none"/>
                <w:lang w:eastAsia="zh-CN"/>
              </w:rPr>
              <w:t>工作经验并提供证明材料</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分。提供招标公告（或成交公告）作为证明资料，证明资料能看到技术负责人姓名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至少姓</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及手机联系方式</w:t>
            </w:r>
            <w:r>
              <w:rPr>
                <w:rFonts w:hint="eastAsia" w:ascii="宋体" w:hAnsi="宋体" w:eastAsia="宋体" w:cs="宋体"/>
                <w:color w:val="auto"/>
                <w:sz w:val="24"/>
                <w:szCs w:val="24"/>
                <w:highlight w:val="none"/>
              </w:rPr>
              <w:t>。</w:t>
            </w:r>
          </w:p>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专业设备组经验证明材料</w:t>
            </w:r>
            <w:r>
              <w:rPr>
                <w:rFonts w:hint="eastAsia" w:ascii="宋体" w:hAnsi="宋体" w:eastAsia="宋体" w:cs="宋体"/>
                <w:color w:val="auto"/>
                <w:sz w:val="24"/>
                <w:szCs w:val="24"/>
                <w:highlight w:val="none"/>
              </w:rPr>
              <w:t>：</w:t>
            </w:r>
          </w:p>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a）医疗设备类、医院服务类</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每提供1个项目得1分，最多得10分，</w:t>
            </w:r>
          </w:p>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其他货物、货物、工程代理</w:t>
            </w:r>
            <w:r>
              <w:rPr>
                <w:rFonts w:hint="eastAsia" w:ascii="宋体" w:hAnsi="宋体" w:eastAsia="宋体" w:cs="宋体"/>
                <w:color w:val="auto"/>
                <w:sz w:val="24"/>
                <w:szCs w:val="24"/>
                <w:highlight w:val="none"/>
                <w:lang w:eastAsia="zh-CN"/>
              </w:rPr>
              <w:t>经验证明材料</w:t>
            </w:r>
            <w:r>
              <w:rPr>
                <w:rFonts w:hint="eastAsia" w:ascii="宋体" w:hAnsi="宋体" w:eastAsia="宋体" w:cs="宋体"/>
                <w:color w:val="auto"/>
                <w:sz w:val="24"/>
                <w:szCs w:val="24"/>
                <w:highlight w:val="none"/>
              </w:rPr>
              <w:t>：</w:t>
            </w:r>
          </w:p>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b）其他货物、服务、工程类</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每提供1个项目得1分，最多得5分，</w:t>
            </w:r>
          </w:p>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通过附件</w:t>
            </w:r>
            <w:r>
              <w:rPr>
                <w:rFonts w:hint="eastAsia" w:ascii="宋体" w:hAnsi="宋体" w:eastAsia="宋体" w:cs="宋体"/>
                <w:color w:val="auto"/>
                <w:sz w:val="24"/>
                <w:szCs w:val="24"/>
                <w:highlight w:val="none"/>
                <w:lang w:val="en-US" w:eastAsia="zh-CN"/>
              </w:rPr>
              <w:t>1和附件2业绩要求，展示业务综合能力，两个模块独立核算分数。</w:t>
            </w:r>
          </w:p>
          <w:p>
            <w:pPr>
              <w:pStyle w:val="6"/>
              <w:snapToGrid w:val="0"/>
              <w:spacing w:line="360" w:lineRule="auto"/>
              <w:jc w:val="both"/>
              <w:rPr>
                <w:rFonts w:hint="eastAsia" w:ascii="宋体" w:hAnsi="宋体" w:eastAsia="宋体" w:cs="宋体"/>
                <w:color w:val="auto"/>
                <w:sz w:val="24"/>
                <w:szCs w:val="24"/>
                <w:highlight w:val="none"/>
                <w:lang w:val="en-US" w:eastAsia="zh-CN"/>
              </w:rPr>
            </w:pPr>
          </w:p>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技术负责人</w:t>
            </w:r>
            <w:r>
              <w:rPr>
                <w:rFonts w:hint="eastAsia" w:ascii="宋体" w:hAnsi="宋体" w:eastAsia="宋体" w:cs="宋体"/>
                <w:color w:val="auto"/>
                <w:sz w:val="24"/>
                <w:szCs w:val="24"/>
                <w:highlight w:val="none"/>
                <w:lang w:val="en-US" w:eastAsia="zh-CN"/>
              </w:rPr>
              <w:t>2021年1月1日</w:t>
            </w:r>
            <w:r>
              <w:rPr>
                <w:rFonts w:hint="eastAsia" w:ascii="宋体" w:hAnsi="宋体" w:eastAsia="宋体" w:cs="宋体"/>
                <w:color w:val="auto"/>
                <w:sz w:val="24"/>
                <w:szCs w:val="24"/>
                <w:highlight w:val="none"/>
                <w:lang w:val="en-US" w:eastAsia="zh-CN"/>
              </w:rPr>
              <w:t>至今</w:t>
            </w:r>
            <w:r>
              <w:rPr>
                <w:rFonts w:hint="eastAsia" w:ascii="宋体" w:hAnsi="宋体" w:eastAsia="宋体" w:cs="宋体"/>
                <w:color w:val="auto"/>
                <w:sz w:val="24"/>
                <w:szCs w:val="24"/>
                <w:highlight w:val="none"/>
              </w:rPr>
              <w:t>完成过以下一类</w:t>
            </w:r>
            <w:r>
              <w:rPr>
                <w:rFonts w:hint="eastAsia" w:ascii="宋体" w:hAnsi="宋体" w:eastAsia="宋体" w:cs="宋体"/>
                <w:color w:val="auto"/>
                <w:sz w:val="24"/>
                <w:szCs w:val="24"/>
                <w:highlight w:val="none"/>
                <w:lang w:eastAsia="zh-CN"/>
              </w:rPr>
              <w:t>工作经验并提供证明材料</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分，同一类业绩</w:t>
            </w:r>
            <w:r>
              <w:rPr>
                <w:rFonts w:hint="eastAsia" w:ascii="宋体" w:hAnsi="宋体" w:eastAsia="宋体" w:cs="宋体"/>
                <w:color w:val="auto"/>
                <w:sz w:val="24"/>
                <w:szCs w:val="24"/>
                <w:highlight w:val="none"/>
                <w:lang w:eastAsia="zh-CN"/>
              </w:rPr>
              <w:t>最高</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分。提供招标公告（或成交公告）作为证明资料，证明资料能看到技术负责人姓名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至少姓</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及手机联系方式</w:t>
            </w:r>
            <w:r>
              <w:rPr>
                <w:rFonts w:hint="eastAsia" w:ascii="宋体" w:hAnsi="宋体" w:eastAsia="宋体" w:cs="宋体"/>
                <w:color w:val="auto"/>
                <w:sz w:val="24"/>
                <w:szCs w:val="24"/>
                <w:highlight w:val="none"/>
              </w:rPr>
              <w:t>。</w:t>
            </w:r>
          </w:p>
          <w:p>
            <w:pPr>
              <w:pStyle w:val="6"/>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2.1、竞争性磋商；</w:t>
            </w:r>
          </w:p>
          <w:p>
            <w:pPr>
              <w:pStyle w:val="6"/>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2.2、竞争性谈判；</w:t>
            </w:r>
          </w:p>
          <w:p>
            <w:pPr>
              <w:pStyle w:val="6"/>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2.3、询价采购；</w:t>
            </w:r>
          </w:p>
          <w:p>
            <w:pPr>
              <w:pStyle w:val="6"/>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2.4、单一来源采购</w:t>
            </w:r>
          </w:p>
          <w:p>
            <w:pPr>
              <w:pStyle w:val="6"/>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注：以上1、2项同一业绩不累计计分。</w:t>
            </w:r>
          </w:p>
        </w:tc>
        <w:tc>
          <w:tcPr>
            <w:tcW w:w="830" w:type="dxa"/>
            <w:noWrap/>
            <w:vAlign w:val="center"/>
          </w:tcPr>
          <w:p>
            <w:pPr>
              <w:pStyle w:val="6"/>
              <w:snapToGrid w:val="0"/>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pacing w:val="5"/>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1340" w:type="dxa"/>
            <w:vMerge w:val="continue"/>
            <w:vAlign w:val="center"/>
          </w:tcPr>
          <w:p>
            <w:pPr>
              <w:pStyle w:val="6"/>
              <w:snapToGrid w:val="0"/>
              <w:spacing w:line="360" w:lineRule="auto"/>
              <w:jc w:val="both"/>
              <w:rPr>
                <w:rFonts w:hint="eastAsia" w:ascii="宋体" w:hAnsi="宋体" w:eastAsia="宋体" w:cs="宋体"/>
                <w:color w:val="auto"/>
                <w:sz w:val="24"/>
                <w:szCs w:val="24"/>
                <w:highlight w:val="none"/>
              </w:rPr>
            </w:pPr>
          </w:p>
        </w:tc>
        <w:tc>
          <w:tcPr>
            <w:tcW w:w="5669" w:type="dxa"/>
            <w:vAlign w:val="center"/>
          </w:tcPr>
          <w:p>
            <w:pPr>
              <w:pStyle w:val="6"/>
              <w:keepNext w:val="0"/>
              <w:keepLines w:val="0"/>
              <w:pageBreakBefore w:val="0"/>
              <w:widowControl/>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拟投入本项目的固定服务团队人员:项目组成员</w:t>
            </w:r>
            <w:r>
              <w:rPr>
                <w:rFonts w:hint="eastAsia" w:ascii="宋体" w:hAnsi="宋体" w:eastAsia="宋体" w:cs="宋体"/>
                <w:color w:val="auto"/>
                <w:sz w:val="24"/>
                <w:szCs w:val="24"/>
                <w:highlight w:val="none"/>
                <w:lang w:eastAsia="zh-CN"/>
              </w:rPr>
              <w:t>出项目负责人外，</w:t>
            </w:r>
            <w:r>
              <w:rPr>
                <w:rFonts w:hint="eastAsia" w:ascii="宋体" w:hAnsi="宋体" w:eastAsia="宋体" w:cs="宋体"/>
                <w:color w:val="auto"/>
                <w:sz w:val="24"/>
                <w:szCs w:val="24"/>
                <w:highlight w:val="none"/>
              </w:rPr>
              <w:t>每提供一名持证人员得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最高得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分。(须提供相关证书</w:t>
            </w:r>
            <w:r>
              <w:rPr>
                <w:rFonts w:hint="eastAsia" w:ascii="宋体" w:hAnsi="宋体" w:eastAsia="宋体" w:cs="宋体"/>
                <w:color w:val="auto"/>
                <w:sz w:val="24"/>
                <w:szCs w:val="24"/>
                <w:highlight w:val="none"/>
                <w:lang w:val="en-US" w:eastAsia="zh-CN"/>
              </w:rPr>
              <w:t>及社保</w:t>
            </w:r>
            <w:r>
              <w:rPr>
                <w:rFonts w:hint="eastAsia" w:ascii="宋体" w:hAnsi="宋体" w:eastAsia="宋体" w:cs="宋体"/>
                <w:color w:val="auto"/>
                <w:sz w:val="24"/>
                <w:szCs w:val="24"/>
                <w:highlight w:val="none"/>
              </w:rPr>
              <w:t>证明,否则不得分)</w:t>
            </w:r>
          </w:p>
        </w:tc>
        <w:tc>
          <w:tcPr>
            <w:tcW w:w="830" w:type="dxa"/>
            <w:noWrap/>
            <w:vAlign w:val="center"/>
          </w:tcPr>
          <w:p>
            <w:pPr>
              <w:pStyle w:val="6"/>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pacing w:val="5"/>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0" w:type="dxa"/>
            <w:vAlign w:val="center"/>
          </w:tcPr>
          <w:p>
            <w:pPr>
              <w:pStyle w:val="6"/>
              <w:snapToGrid w:val="0"/>
              <w:spacing w:line="360"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1340" w:type="dxa"/>
            <w:vAlign w:val="center"/>
          </w:tcPr>
          <w:p>
            <w:pPr>
              <w:pStyle w:val="6"/>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w:t>
            </w:r>
            <w:r>
              <w:rPr>
                <w:rFonts w:hint="eastAsia" w:ascii="宋体" w:hAnsi="宋体" w:eastAsia="宋体" w:cs="宋体"/>
                <w:color w:val="auto"/>
                <w:sz w:val="24"/>
                <w:szCs w:val="24"/>
                <w:highlight w:val="none"/>
                <w:lang w:val="en-US" w:eastAsia="zh-CN"/>
              </w:rPr>
              <w:t>本院</w:t>
            </w:r>
            <w:r>
              <w:rPr>
                <w:rFonts w:hint="eastAsia" w:ascii="宋体" w:hAnsi="宋体" w:eastAsia="宋体" w:cs="宋体"/>
                <w:color w:val="auto"/>
                <w:sz w:val="24"/>
                <w:szCs w:val="24"/>
                <w:highlight w:val="none"/>
              </w:rPr>
              <w:t>项目制定的招标代理实施方案</w:t>
            </w:r>
          </w:p>
        </w:tc>
        <w:tc>
          <w:tcPr>
            <w:tcW w:w="5669" w:type="dxa"/>
            <w:vAlign w:val="center"/>
          </w:tcPr>
          <w:p>
            <w:pPr>
              <w:pStyle w:val="6"/>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从项目实施进度计划完工期及其保证措施;保护招标人权益及保密措施;包括防止废标、防止质 疑投诉以及处理质疑投诉等异常情况的防范措施;服务承诺等方面提供相关方案,根据招标代 理服务实施方案的科学性、严密性、合理性,</w:t>
            </w:r>
            <w:r>
              <w:rPr>
                <w:rFonts w:hint="eastAsia" w:ascii="宋体" w:hAnsi="宋体" w:eastAsia="宋体" w:cs="宋体"/>
                <w:color w:val="auto"/>
                <w:sz w:val="24"/>
                <w:szCs w:val="24"/>
                <w:highlight w:val="none"/>
                <w:lang w:val="en-US" w:eastAsia="zh-CN"/>
              </w:rPr>
              <w:t>横向</w:t>
            </w:r>
            <w:r>
              <w:rPr>
                <w:rFonts w:hint="eastAsia" w:ascii="宋体" w:hAnsi="宋体" w:eastAsia="宋体" w:cs="宋体"/>
                <w:color w:val="auto"/>
                <w:sz w:val="24"/>
                <w:szCs w:val="24"/>
                <w:highlight w:val="none"/>
              </w:rPr>
              <w:t>比较情况酌情给分</w:t>
            </w:r>
            <w:r>
              <w:rPr>
                <w:rFonts w:hint="eastAsia" w:ascii="宋体" w:hAnsi="宋体" w:eastAsia="宋体" w:cs="宋体"/>
                <w:color w:val="auto"/>
                <w:sz w:val="24"/>
                <w:szCs w:val="24"/>
                <w:highlight w:val="none"/>
                <w:lang w:val="en-US" w:eastAsia="zh-CN"/>
              </w:rPr>
              <w:t>0-4分</w:t>
            </w:r>
            <w:r>
              <w:rPr>
                <w:rFonts w:hint="eastAsia" w:ascii="宋体" w:hAnsi="宋体" w:eastAsia="宋体" w:cs="宋体"/>
                <w:color w:val="auto"/>
                <w:sz w:val="24"/>
                <w:szCs w:val="24"/>
                <w:highlight w:val="none"/>
              </w:rPr>
              <w:t>。</w:t>
            </w:r>
          </w:p>
        </w:tc>
        <w:tc>
          <w:tcPr>
            <w:tcW w:w="830" w:type="dxa"/>
            <w:noWrap/>
            <w:vAlign w:val="center"/>
          </w:tcPr>
          <w:p>
            <w:pPr>
              <w:pStyle w:val="6"/>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0" w:type="dxa"/>
            <w:vAlign w:val="center"/>
          </w:tcPr>
          <w:p>
            <w:pPr>
              <w:pStyle w:val="6"/>
              <w:snapToGrid w:val="0"/>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340" w:type="dxa"/>
            <w:vAlign w:val="center"/>
          </w:tcPr>
          <w:p>
            <w:pPr>
              <w:pStyle w:val="6"/>
              <w:snapToGrid w:val="0"/>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服务费用</w:t>
            </w:r>
          </w:p>
        </w:tc>
        <w:tc>
          <w:tcPr>
            <w:tcW w:w="5669" w:type="dxa"/>
            <w:vAlign w:val="center"/>
          </w:tcPr>
          <w:p>
            <w:pPr>
              <w:pStyle w:val="6"/>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基准折扣为所有有效遴选文件中报价最低的折扣，各代理公司报价得分=(基准折扣／报价折扣)×</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，四舍五入，保留两位小数。</w:t>
            </w:r>
          </w:p>
        </w:tc>
        <w:tc>
          <w:tcPr>
            <w:tcW w:w="830" w:type="dxa"/>
            <w:noWrap/>
            <w:vAlign w:val="center"/>
          </w:tcPr>
          <w:p>
            <w:pPr>
              <w:pStyle w:val="6"/>
              <w:keepNext w:val="0"/>
              <w:keepLines w:val="0"/>
              <w:pageBreakBefore w:val="0"/>
              <w:widowControl/>
              <w:numPr>
                <w:ilvl w:val="0"/>
                <w:numId w:val="0"/>
              </w:numPr>
              <w:kinsoku/>
              <w:wordWrap/>
              <w:overflowPunct w:val="0"/>
              <w:topLinePunct w:val="0"/>
              <w:autoSpaceDE w:val="0"/>
              <w:autoSpaceDN w:val="0"/>
              <w:bidi w:val="0"/>
              <w:adjustRightInd w:val="0"/>
              <w:snapToGrid w:val="0"/>
              <w:spacing w:line="240" w:lineRule="auto"/>
              <w:jc w:val="both"/>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pacing w:val="5"/>
                <w:sz w:val="24"/>
                <w:szCs w:val="24"/>
                <w:highlight w:val="none"/>
              </w:rPr>
              <w:t>分</w:t>
            </w:r>
          </w:p>
        </w:tc>
      </w:tr>
    </w:tbl>
    <w:p>
      <w:pPr>
        <w:pStyle w:val="6"/>
        <w:snapToGrid w:val="0"/>
        <w:spacing w:line="360" w:lineRule="auto"/>
        <w:ind w:firstLine="643" w:firstLineChars="200"/>
        <w:jc w:val="center"/>
        <w:outlineLvl w:val="0"/>
        <w:rPr>
          <w:color w:val="auto"/>
          <w:sz w:val="32"/>
          <w:highlight w:val="none"/>
        </w:rPr>
      </w:pPr>
      <w:r>
        <w:rPr>
          <w:rFonts w:hAnsi="宋体"/>
          <w:b/>
          <w:bCs/>
          <w:color w:val="auto"/>
          <w:sz w:val="32"/>
          <w:highlight w:val="none"/>
        </w:rPr>
        <w:br w:type="page"/>
      </w:r>
      <w:r>
        <w:rPr>
          <w:rFonts w:hint="eastAsia"/>
          <w:color w:val="auto"/>
          <w:sz w:val="32"/>
          <w:highlight w:val="none"/>
        </w:rPr>
        <w:t>第四章  遴选代理商</w:t>
      </w:r>
      <w:r>
        <w:rPr>
          <w:color w:val="auto"/>
          <w:sz w:val="32"/>
          <w:highlight w:val="none"/>
        </w:rPr>
        <w:t>的服务</w:t>
      </w:r>
      <w:r>
        <w:rPr>
          <w:rFonts w:hint="eastAsia"/>
          <w:color w:val="auto"/>
          <w:sz w:val="32"/>
          <w:highlight w:val="none"/>
        </w:rPr>
        <w:t>要求</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▲1、招标代理服务内容（包括但不限于以下内容）</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（1）拟订采购方案和编制采购文件；</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（2）委托专家进行采购文件论证；</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（3）编制和发布采购公告或邀请书；</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（4）审查投标人资格；</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（5）发出采购文件，对采购文件进行解释、答疑；</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（6）组织投标人踏勘现场；</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（7）组织开标、评标、定标；</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（8）提供招标前期咨询；</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（9）协调合同的签订；</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（10）提供招标前期进口申报论证；</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（11）向招标投标监督部门办理有关招标投标情况报告；</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（12）处理投标人和其他利害关系人提出的异议；</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（13）招标人委托的其他咨询服务工作等；</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（14）评审及评审文件的管理；</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▲2、成交招标代理服务机构的义务和职责</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（1）在招标代理服务内容范围内负责依法组织采购过程的各项工作。</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（2）对由于非成交供应商原因致使采购失败而造成成交供应商经济损失的，有权要求相关方承担赔偿责任。</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严格遵守《中华人民共和国政府采购法》、《政府采购货物和服务招标投标管理办法》、《中华人民共和国政府采购法实施条例》等法律法规的有关规定，按照法定程序和方式精心组织并圆满完成采购工作；</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组成专项工作组，承办上述招标服务项目招标活动。指定一位项目负责人（项目负责人一般不得更换；如要更换，需经招标人同意，更换相同职称职格、学历的人员），代表成交供应商联系和处理采购过程中的有关具体事项，并及时向招标人报告采购工作进展情况；</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（5）负责编制和发布采购公告；</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（6）根据招标人提供的有关技术、服务、商务等材料和要求，在与招标人进行充分交流后负责编制采购文件；</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（7）负责将采购文件送招标人审核，经审核同意后负责采购文件的印刷、发售；</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（8）如有必要，组织标前答疑会；</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（9）与招标人协商确定采购程序，组织开标大会；</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（10）组织评标委员会（评审小组）进行评标（评审），负责安排评标（评审）活动的有关事宜；</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（11）根据评标委员会（评审小组）的评标（评审）结论，向招标人提交评标（评审）报告；</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（12）刊登中标（成交）公告；</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（13）向中标（成交）供应商发《中标（成交）通知书》；</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（14）积极作好供应商对中标（成交）结果提出的投诉和质疑的解释工作。</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15）在医院委托的招标代理项目中标通知书发出后5个工作日内，招标代理机构应向招标人提供招标文件电子版，中标公司的投标文件，评标报告，采购公告，中标公告，中标通知书等资料的纸质版和电子版（所有电子版本文件应独立编制成PDF格式并打包） </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3、项目负责人</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项目负责人一般不得更换，如要更换，需经招标人同意，更换相同职称职格、学历的人员。</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其职责（包括但不限于以下内容）</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（1）参与项目招标代理协议的的签订；</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（2）联系招标人，提出项目所需相关内容及技术；</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（3）协助招标人，落实项目招标前准备工作；</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（4）参与招标文件的编制；</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（5）组织委托专家进行采购文件论证；</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（6）参加每次招标文件讨论例会，并及时沟通；</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（7）编制和发布采购公告或邀请书；</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（8）发出采购文件，对采购文件进行解释、答疑；</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（9）组织开标大会；</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（10）作好供应商提出的投诉和质疑的解释工作；</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（11）配合文档管理人员将项目的技术资料整理、归档。</w:t>
      </w:r>
    </w:p>
    <w:p>
      <w:pPr>
        <w:pStyle w:val="6"/>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4、时间要求</w:t>
      </w:r>
    </w:p>
    <w:p>
      <w:pPr>
        <w:pStyle w:val="6"/>
        <w:snapToGrid w:val="0"/>
        <w:spacing w:line="360" w:lineRule="auto"/>
        <w:ind w:firstLine="480" w:firstLineChars="200"/>
        <w:rPr>
          <w:rFonts w:hint="eastAsia" w:ascii="Times New Roman" w:hAnsi="宋体"/>
          <w:color w:val="auto"/>
          <w:szCs w:val="24"/>
          <w:highlight w:val="none"/>
        </w:rPr>
      </w:pPr>
      <w:r>
        <w:rPr>
          <w:rFonts w:hint="eastAsia" w:ascii="宋体" w:hAnsi="宋体" w:eastAsia="宋体" w:cs="宋体"/>
          <w:color w:val="auto"/>
          <w:sz w:val="24"/>
          <w:szCs w:val="24"/>
          <w:highlight w:val="none"/>
        </w:rPr>
        <w:t>招标人提供项目所需内容及技术要求后3个工作日内完成招标文件初稿编制。</w:t>
      </w:r>
    </w:p>
    <w:p>
      <w:pPr>
        <w:rPr>
          <w:rFonts w:hAnsi="宋体"/>
          <w:b/>
          <w:bCs/>
          <w:color w:val="auto"/>
          <w:sz w:val="32"/>
          <w:highlight w:val="none"/>
        </w:rPr>
      </w:pPr>
      <w:r>
        <w:rPr>
          <w:rFonts w:hAnsi="宋体"/>
          <w:b/>
          <w:bCs/>
          <w:color w:val="auto"/>
          <w:sz w:val="32"/>
          <w:highlight w:val="none"/>
        </w:rPr>
        <w:br w:type="page"/>
      </w:r>
    </w:p>
    <w:p>
      <w:pPr>
        <w:jc w:val="center"/>
        <w:rPr>
          <w:b/>
          <w:bCs/>
          <w:color w:val="auto"/>
          <w:sz w:val="32"/>
          <w:highlight w:val="none"/>
        </w:rPr>
      </w:pPr>
      <w:r>
        <w:rPr>
          <w:rFonts w:hAnsi="宋体"/>
          <w:b/>
          <w:bCs/>
          <w:color w:val="auto"/>
          <w:sz w:val="32"/>
          <w:highlight w:val="none"/>
        </w:rPr>
        <w:t>第</w:t>
      </w:r>
      <w:r>
        <w:rPr>
          <w:rFonts w:hint="eastAsia" w:hAnsi="宋体"/>
          <w:b/>
          <w:bCs/>
          <w:color w:val="auto"/>
          <w:sz w:val="32"/>
          <w:highlight w:val="none"/>
          <w:lang w:eastAsia="zh-CN"/>
        </w:rPr>
        <w:t>五</w:t>
      </w:r>
      <w:r>
        <w:rPr>
          <w:rFonts w:hAnsi="宋体"/>
          <w:b/>
          <w:bCs/>
          <w:color w:val="auto"/>
          <w:sz w:val="32"/>
          <w:highlight w:val="none"/>
        </w:rPr>
        <w:t>章</w:t>
      </w:r>
      <w:r>
        <w:rPr>
          <w:rFonts w:hint="eastAsia" w:hAnsi="宋体"/>
          <w:b/>
          <w:bCs/>
          <w:color w:val="auto"/>
          <w:sz w:val="32"/>
          <w:highlight w:val="none"/>
          <w:lang w:val="en-US" w:eastAsia="zh-CN"/>
        </w:rPr>
        <w:t xml:space="preserve">  </w:t>
      </w:r>
      <w:r>
        <w:rPr>
          <w:rFonts w:hAnsi="宋体"/>
          <w:b/>
          <w:bCs/>
          <w:color w:val="auto"/>
          <w:sz w:val="32"/>
          <w:highlight w:val="none"/>
        </w:rPr>
        <w:t>合同主要条款</w:t>
      </w:r>
    </w:p>
    <w:p>
      <w:pPr>
        <w:spacing w:line="360" w:lineRule="auto"/>
        <w:rPr>
          <w:rFonts w:ascii="宋体" w:hAnsi="宋体"/>
          <w:color w:val="auto"/>
          <w:sz w:val="24"/>
          <w:highlight w:val="none"/>
        </w:rPr>
      </w:pPr>
    </w:p>
    <w:p>
      <w:pPr>
        <w:spacing w:line="360" w:lineRule="auto"/>
        <w:rPr>
          <w:rFonts w:hint="eastAsia" w:ascii="宋体" w:hAnsi="宋体" w:eastAsia="宋体"/>
          <w:color w:val="auto"/>
          <w:sz w:val="24"/>
          <w:highlight w:val="none"/>
          <w:lang w:eastAsia="zh-CN"/>
        </w:rPr>
      </w:pPr>
      <w:r>
        <w:rPr>
          <w:rFonts w:hint="eastAsia" w:ascii="宋体" w:hAnsi="宋体"/>
          <w:color w:val="auto"/>
          <w:sz w:val="24"/>
          <w:highlight w:val="none"/>
        </w:rPr>
        <w:t>甲方：</w:t>
      </w:r>
      <w:r>
        <w:rPr>
          <w:rFonts w:hint="eastAsia" w:ascii="宋体" w:hAnsi="宋体"/>
          <w:color w:val="auto"/>
          <w:sz w:val="24"/>
          <w:highlight w:val="none"/>
          <w:lang w:eastAsia="zh-CN"/>
        </w:rPr>
        <w:t>永嘉县人民医院</w:t>
      </w:r>
    </w:p>
    <w:p>
      <w:pPr>
        <w:spacing w:line="360" w:lineRule="auto"/>
        <w:rPr>
          <w:rFonts w:ascii="宋体" w:hAnsi="宋体"/>
          <w:color w:val="auto"/>
          <w:sz w:val="24"/>
          <w:highlight w:val="none"/>
          <w:u w:val="single"/>
        </w:rPr>
      </w:pPr>
      <w:r>
        <w:rPr>
          <w:rFonts w:hint="eastAsia" w:ascii="宋体" w:hAnsi="宋体"/>
          <w:color w:val="auto"/>
          <w:sz w:val="24"/>
          <w:highlight w:val="none"/>
        </w:rPr>
        <w:t>乙方：</w:t>
      </w:r>
    </w:p>
    <w:p>
      <w:pPr>
        <w:spacing w:line="360" w:lineRule="auto"/>
        <w:ind w:firstLine="560"/>
        <w:rPr>
          <w:rFonts w:ascii="宋体" w:hAnsi="宋体"/>
          <w:color w:val="auto"/>
          <w:sz w:val="24"/>
          <w:highlight w:val="none"/>
        </w:rPr>
      </w:pPr>
      <w:r>
        <w:rPr>
          <w:rFonts w:hint="eastAsia" w:ascii="宋体" w:hAnsi="宋体"/>
          <w:color w:val="auto"/>
          <w:sz w:val="24"/>
          <w:highlight w:val="none"/>
        </w:rPr>
        <w:t>采购人（以下简称甲方）就2022—202</w:t>
      </w:r>
      <w:r>
        <w:rPr>
          <w:rFonts w:hint="eastAsia" w:ascii="宋体" w:hAnsi="宋体"/>
          <w:color w:val="auto"/>
          <w:sz w:val="24"/>
          <w:highlight w:val="none"/>
          <w:lang w:val="en-US" w:eastAsia="zh-CN"/>
        </w:rPr>
        <w:t>5</w:t>
      </w:r>
      <w:r>
        <w:rPr>
          <w:rFonts w:hint="eastAsia" w:ascii="宋体" w:hAnsi="宋体"/>
          <w:color w:val="auto"/>
          <w:sz w:val="24"/>
          <w:highlight w:val="none"/>
        </w:rPr>
        <w:t>年度招标代理服务项目，委托中标人（以下简称乙方）进行招标。双方根据《中华人民共和国招标投标法》、《中华人民共和国政府采购法》、《机电产品国际招标投标实施办法》及其它相关法律法规实施相应的招标。为明确各自的权益和责任，经双方充分协商，依据《中华人民共和国民典法》特签订本“委托招标代理合同”。</w:t>
      </w:r>
    </w:p>
    <w:p>
      <w:pPr>
        <w:numPr>
          <w:ilvl w:val="0"/>
          <w:numId w:val="2"/>
        </w:numPr>
        <w:spacing w:line="360" w:lineRule="auto"/>
        <w:rPr>
          <w:rFonts w:ascii="宋体" w:hAnsi="宋体"/>
          <w:color w:val="auto"/>
          <w:sz w:val="24"/>
          <w:highlight w:val="none"/>
        </w:rPr>
      </w:pPr>
      <w:r>
        <w:rPr>
          <w:rFonts w:hint="eastAsia" w:ascii="宋体" w:hAnsi="宋体"/>
          <w:color w:val="auto"/>
          <w:sz w:val="24"/>
          <w:highlight w:val="none"/>
        </w:rPr>
        <w:t>甲方的权利和义务：</w:t>
      </w:r>
    </w:p>
    <w:p>
      <w:pPr>
        <w:numPr>
          <w:ilvl w:val="0"/>
          <w:numId w:val="3"/>
        </w:numPr>
        <w:spacing w:line="360" w:lineRule="auto"/>
        <w:rPr>
          <w:rFonts w:ascii="宋体" w:hAnsi="宋体"/>
          <w:color w:val="auto"/>
          <w:sz w:val="24"/>
          <w:highlight w:val="none"/>
        </w:rPr>
      </w:pPr>
      <w:r>
        <w:rPr>
          <w:rFonts w:hint="eastAsia" w:ascii="宋体" w:hAnsi="宋体"/>
          <w:color w:val="auto"/>
          <w:sz w:val="24"/>
          <w:highlight w:val="none"/>
        </w:rPr>
        <w:t>甲方授权乙方办理约定范围内的有关招标事宜。乙方应运用其专业知识和经验，认真履行本协议下的各项义务，切实维护甲方的合法权益，以确保招标活动的顺利进行。</w:t>
      </w:r>
    </w:p>
    <w:p>
      <w:pPr>
        <w:numPr>
          <w:ilvl w:val="0"/>
          <w:numId w:val="3"/>
        </w:numPr>
        <w:spacing w:line="360" w:lineRule="auto"/>
        <w:rPr>
          <w:rFonts w:ascii="宋体" w:hAnsi="宋体"/>
          <w:color w:val="auto"/>
          <w:sz w:val="24"/>
          <w:highlight w:val="none"/>
        </w:rPr>
      </w:pPr>
      <w:r>
        <w:rPr>
          <w:rFonts w:hint="eastAsia" w:ascii="宋体" w:hAnsi="宋体"/>
          <w:color w:val="auto"/>
          <w:sz w:val="24"/>
          <w:highlight w:val="none"/>
        </w:rPr>
        <w:t>对乙方提供的服务以及相关事项进行监督检查。</w:t>
      </w:r>
    </w:p>
    <w:p>
      <w:pPr>
        <w:numPr>
          <w:ilvl w:val="0"/>
          <w:numId w:val="3"/>
        </w:numPr>
        <w:spacing w:line="360" w:lineRule="auto"/>
        <w:rPr>
          <w:rFonts w:ascii="宋体" w:hAnsi="宋体"/>
          <w:color w:val="auto"/>
          <w:sz w:val="24"/>
          <w:highlight w:val="none"/>
        </w:rPr>
      </w:pPr>
      <w:r>
        <w:rPr>
          <w:rFonts w:hint="eastAsia" w:ascii="宋体" w:hAnsi="宋体"/>
          <w:color w:val="auto"/>
          <w:sz w:val="24"/>
          <w:highlight w:val="none"/>
        </w:rPr>
        <w:t>对乙方的招投标活动进行监督检查。</w:t>
      </w:r>
    </w:p>
    <w:p>
      <w:pPr>
        <w:numPr>
          <w:ilvl w:val="0"/>
          <w:numId w:val="3"/>
        </w:numPr>
        <w:spacing w:line="360" w:lineRule="auto"/>
        <w:rPr>
          <w:rFonts w:ascii="宋体" w:hAnsi="宋体"/>
          <w:color w:val="auto"/>
          <w:sz w:val="24"/>
          <w:highlight w:val="none"/>
        </w:rPr>
      </w:pPr>
      <w:r>
        <w:rPr>
          <w:rFonts w:hint="eastAsia" w:ascii="宋体" w:hAnsi="宋体"/>
          <w:color w:val="auto"/>
          <w:sz w:val="24"/>
          <w:highlight w:val="none"/>
        </w:rPr>
        <w:t>有权要求乙方对不符合本协议的行为进行调整。</w:t>
      </w:r>
    </w:p>
    <w:p>
      <w:pPr>
        <w:numPr>
          <w:ilvl w:val="0"/>
          <w:numId w:val="3"/>
        </w:numPr>
        <w:spacing w:line="360" w:lineRule="auto"/>
        <w:rPr>
          <w:rFonts w:ascii="宋体" w:hAnsi="宋体"/>
          <w:color w:val="auto"/>
          <w:sz w:val="24"/>
          <w:highlight w:val="none"/>
        </w:rPr>
      </w:pPr>
      <w:r>
        <w:rPr>
          <w:rFonts w:hint="eastAsia" w:ascii="宋体" w:hAnsi="宋体"/>
          <w:color w:val="auto"/>
          <w:sz w:val="24"/>
          <w:highlight w:val="none"/>
        </w:rPr>
        <w:t>向乙方提供需要招标项目的相关资料，并对本政府采购项目和所提供资料的真实性和合法性负责。</w:t>
      </w:r>
    </w:p>
    <w:p>
      <w:pPr>
        <w:spacing w:line="360" w:lineRule="auto"/>
        <w:rPr>
          <w:rFonts w:ascii="宋体" w:hAnsi="宋体"/>
          <w:color w:val="auto"/>
          <w:sz w:val="24"/>
          <w:highlight w:val="none"/>
        </w:rPr>
      </w:pPr>
      <w:r>
        <w:rPr>
          <w:rFonts w:hint="eastAsia" w:ascii="宋体" w:hAnsi="宋体"/>
          <w:color w:val="auto"/>
          <w:sz w:val="24"/>
          <w:highlight w:val="none"/>
        </w:rPr>
        <w:t>二、乙方的权利和义务：</w:t>
      </w:r>
    </w:p>
    <w:p>
      <w:pPr>
        <w:spacing w:line="360" w:lineRule="auto"/>
        <w:ind w:left="360" w:hanging="360" w:hangingChars="150"/>
        <w:rPr>
          <w:rFonts w:ascii="宋体" w:hAnsi="宋体"/>
          <w:color w:val="auto"/>
          <w:sz w:val="24"/>
          <w:highlight w:val="none"/>
        </w:rPr>
      </w:pPr>
      <w:r>
        <w:rPr>
          <w:rFonts w:hint="eastAsia" w:ascii="宋体" w:hAnsi="宋体"/>
          <w:color w:val="auto"/>
          <w:sz w:val="24"/>
          <w:highlight w:val="none"/>
        </w:rPr>
        <w:t>1. 在协议期内，乙方须按照本协议的规定，为甲方提供货物类、服务类等项目的采购招标代理服务。</w:t>
      </w:r>
    </w:p>
    <w:p>
      <w:pPr>
        <w:spacing w:line="360" w:lineRule="auto"/>
        <w:ind w:left="360" w:hanging="360" w:hangingChars="150"/>
        <w:rPr>
          <w:rFonts w:ascii="宋体" w:hAnsi="宋体"/>
          <w:color w:val="auto"/>
          <w:sz w:val="24"/>
          <w:highlight w:val="none"/>
        </w:rPr>
      </w:pPr>
      <w:r>
        <w:rPr>
          <w:rFonts w:hint="eastAsia" w:ascii="宋体" w:hAnsi="宋体"/>
          <w:color w:val="auto"/>
          <w:sz w:val="24"/>
          <w:highlight w:val="none"/>
        </w:rPr>
        <w:t>2. 按照《中华人民共和国招标投标法》、《中华人民共和国政府采购法》、《机电产品国际招标投标实施办法》等法律、法规和省、市政府的有关规定，依法组织采购活动，具体包括：</w:t>
      </w:r>
    </w:p>
    <w:p>
      <w:pPr>
        <w:spacing w:line="360" w:lineRule="auto"/>
        <w:ind w:left="480" w:hanging="480" w:hangingChars="200"/>
        <w:rPr>
          <w:rFonts w:ascii="宋体" w:hAnsi="宋体"/>
          <w:color w:val="auto"/>
          <w:sz w:val="24"/>
          <w:highlight w:val="none"/>
        </w:rPr>
      </w:pPr>
      <w:r>
        <w:rPr>
          <w:rFonts w:hint="eastAsia" w:ascii="宋体" w:hAnsi="宋体"/>
          <w:color w:val="auto"/>
          <w:sz w:val="24"/>
          <w:highlight w:val="none"/>
        </w:rPr>
        <w:t>2.1 编制招标文件，包括技术、商务条款、采购方式、评标标准、评标办法等内容，提请甲方确认；</w:t>
      </w:r>
    </w:p>
    <w:p>
      <w:pPr>
        <w:spacing w:line="360" w:lineRule="auto"/>
        <w:ind w:left="480" w:hanging="480" w:hangingChars="200"/>
        <w:rPr>
          <w:rFonts w:ascii="宋体" w:hAnsi="宋体"/>
          <w:color w:val="auto"/>
          <w:sz w:val="24"/>
          <w:highlight w:val="none"/>
        </w:rPr>
      </w:pPr>
      <w:r>
        <w:rPr>
          <w:rFonts w:hint="eastAsia" w:ascii="宋体" w:hAnsi="宋体"/>
          <w:color w:val="auto"/>
          <w:sz w:val="24"/>
          <w:highlight w:val="none"/>
        </w:rPr>
        <w:t>2.2 按照甲方要求的方式和范围发布招标公告、发售招标文件，做好投标人的登记工作，接受和答复投标人的询问、质疑。</w:t>
      </w:r>
    </w:p>
    <w:p>
      <w:pPr>
        <w:spacing w:line="360" w:lineRule="auto"/>
        <w:ind w:left="480" w:hanging="480" w:hangingChars="200"/>
        <w:rPr>
          <w:rFonts w:ascii="宋体" w:hAnsi="宋体"/>
          <w:color w:val="auto"/>
          <w:sz w:val="24"/>
          <w:highlight w:val="none"/>
        </w:rPr>
      </w:pPr>
      <w:r>
        <w:rPr>
          <w:rFonts w:hint="eastAsia" w:ascii="宋体" w:hAnsi="宋体"/>
          <w:color w:val="auto"/>
          <w:sz w:val="24"/>
          <w:highlight w:val="none"/>
        </w:rPr>
        <w:t>2.3 按照有关规定组织开标、评标、定标工作，发布中标公告，向中标人发中标通知书；</w:t>
      </w:r>
    </w:p>
    <w:p>
      <w:pPr>
        <w:spacing w:line="360" w:lineRule="auto"/>
        <w:ind w:left="480" w:hanging="480" w:hangingChars="200"/>
        <w:rPr>
          <w:rFonts w:ascii="宋体" w:hAnsi="宋体"/>
          <w:color w:val="auto"/>
          <w:sz w:val="24"/>
          <w:highlight w:val="none"/>
        </w:rPr>
      </w:pPr>
      <w:r>
        <w:rPr>
          <w:rFonts w:hint="eastAsia" w:ascii="宋体" w:hAnsi="宋体"/>
          <w:color w:val="auto"/>
          <w:sz w:val="24"/>
          <w:highlight w:val="none"/>
        </w:rPr>
        <w:t>2.4 对外发布有关采购文件和采购结果，应经甲方确认后，并及时将有关采购文件和采购合同等报省采购办备案；</w:t>
      </w:r>
    </w:p>
    <w:p>
      <w:pPr>
        <w:spacing w:line="360" w:lineRule="auto"/>
        <w:ind w:left="480" w:hanging="480" w:hangingChars="200"/>
        <w:rPr>
          <w:rFonts w:ascii="仿宋" w:hAnsi="仿宋" w:eastAsia="仿宋"/>
          <w:color w:val="auto"/>
          <w:sz w:val="24"/>
          <w:highlight w:val="none"/>
        </w:rPr>
      </w:pPr>
      <w:r>
        <w:rPr>
          <w:rFonts w:hint="eastAsia" w:ascii="宋体" w:hAnsi="宋体"/>
          <w:color w:val="auto"/>
          <w:sz w:val="24"/>
          <w:highlight w:val="none"/>
        </w:rPr>
        <w:t>2.5 协助合同草拟，协调甲方与中标人签定合同；</w:t>
      </w:r>
    </w:p>
    <w:p>
      <w:pPr>
        <w:spacing w:line="360" w:lineRule="auto"/>
        <w:ind w:left="480" w:hanging="480" w:hangingChars="200"/>
        <w:rPr>
          <w:rFonts w:hint="eastAsia" w:ascii="宋体" w:hAnsi="宋体"/>
          <w:color w:val="auto"/>
          <w:sz w:val="24"/>
          <w:highlight w:val="none"/>
        </w:rPr>
      </w:pPr>
      <w:r>
        <w:rPr>
          <w:rFonts w:hint="eastAsia" w:ascii="宋体" w:hAnsi="宋体"/>
          <w:color w:val="auto"/>
          <w:sz w:val="24"/>
          <w:highlight w:val="none"/>
        </w:rPr>
        <w:t>3. 完成甲方交付的其他工作。</w:t>
      </w:r>
    </w:p>
    <w:p>
      <w:pPr>
        <w:spacing w:line="360" w:lineRule="auto"/>
        <w:ind w:left="480" w:hanging="480" w:hangingChars="200"/>
        <w:rPr>
          <w:rFonts w:ascii="宋体" w:hAnsi="宋体"/>
          <w:color w:val="auto"/>
          <w:sz w:val="24"/>
          <w:highlight w:val="none"/>
        </w:rPr>
      </w:pPr>
      <w:r>
        <w:rPr>
          <w:rFonts w:hint="eastAsia" w:ascii="宋体" w:hAnsi="宋体"/>
          <w:color w:val="auto"/>
          <w:sz w:val="24"/>
          <w:highlight w:val="none"/>
        </w:rPr>
        <w:t>4. 承担相应的招标评审费用，包括招标场地费、专家评审费、公证费等。</w:t>
      </w:r>
    </w:p>
    <w:p>
      <w:pPr>
        <w:spacing w:line="360" w:lineRule="auto"/>
        <w:rPr>
          <w:bCs/>
          <w:color w:val="auto"/>
          <w:sz w:val="24"/>
          <w:highlight w:val="none"/>
        </w:rPr>
      </w:pPr>
      <w:r>
        <w:rPr>
          <w:rFonts w:hint="eastAsia" w:ascii="宋体" w:hAnsi="宋体"/>
          <w:color w:val="auto"/>
          <w:sz w:val="24"/>
          <w:highlight w:val="none"/>
        </w:rPr>
        <w:t>5. 按照招标代理服务收费标准乘以中标确定的优惠折扣向中标供应商收取代理服务费，</w:t>
      </w:r>
      <w:r>
        <w:rPr>
          <w:rFonts w:hint="eastAsia" w:hAnsi="宋体"/>
          <w:color w:val="auto"/>
          <w:sz w:val="24"/>
          <w:highlight w:val="none"/>
        </w:rPr>
        <w:t>代理服务费收费标准按</w:t>
      </w:r>
      <w:r>
        <w:rPr>
          <w:rFonts w:hint="eastAsia" w:ascii="宋体" w:hAnsi="宋体" w:cs="宋体"/>
          <w:color w:val="auto"/>
          <w:kern w:val="0"/>
          <w:sz w:val="24"/>
          <w:highlight w:val="none"/>
        </w:rPr>
        <w:t>国家《招标代理服务收费管理暂行办法》（计价格[2002]1980号），发改办价格[2003]857号执行</w:t>
      </w:r>
      <w:r>
        <w:rPr>
          <w:rFonts w:hAnsi="宋体"/>
          <w:color w:val="auto"/>
          <w:sz w:val="24"/>
          <w:highlight w:val="none"/>
        </w:rPr>
        <w:t>。</w:t>
      </w:r>
    </w:p>
    <w:p>
      <w:pPr>
        <w:spacing w:line="360" w:lineRule="auto"/>
        <w:rPr>
          <w:rFonts w:hint="eastAsia" w:ascii="宋体" w:hAnsi="宋体"/>
          <w:color w:val="auto"/>
          <w:sz w:val="24"/>
          <w:highlight w:val="none"/>
        </w:rPr>
      </w:pPr>
      <w:r>
        <w:rPr>
          <w:rFonts w:hint="eastAsia" w:ascii="宋体" w:hAnsi="宋体"/>
          <w:color w:val="auto"/>
          <w:sz w:val="24"/>
          <w:highlight w:val="none"/>
        </w:rPr>
        <w:t>三、双方的共同责任：</w:t>
      </w:r>
    </w:p>
    <w:p>
      <w:pPr>
        <w:spacing w:line="360" w:lineRule="auto"/>
        <w:ind w:firstLine="720" w:firstLineChars="300"/>
        <w:rPr>
          <w:rFonts w:ascii="宋体" w:hAnsi="宋体"/>
          <w:color w:val="auto"/>
          <w:sz w:val="24"/>
          <w:highlight w:val="none"/>
        </w:rPr>
      </w:pPr>
      <w:r>
        <w:rPr>
          <w:rFonts w:hint="eastAsia" w:ascii="宋体" w:hAnsi="宋体"/>
          <w:color w:val="auto"/>
          <w:sz w:val="24"/>
          <w:highlight w:val="none"/>
        </w:rPr>
        <w:t>在招标活动进行过程中和招标活动完成后，甲乙双方均有责对招标过程中所涉及的内容予以保密。</w:t>
      </w:r>
    </w:p>
    <w:p>
      <w:pPr>
        <w:spacing w:line="360" w:lineRule="auto"/>
        <w:rPr>
          <w:rFonts w:hint="eastAsia" w:ascii="宋体" w:hAnsi="宋体"/>
          <w:color w:val="auto"/>
          <w:sz w:val="24"/>
          <w:highlight w:val="none"/>
        </w:rPr>
      </w:pPr>
      <w:r>
        <w:rPr>
          <w:rFonts w:hint="eastAsia" w:ascii="宋体" w:hAnsi="宋体"/>
          <w:color w:val="auto"/>
          <w:sz w:val="24"/>
          <w:highlight w:val="none"/>
        </w:rPr>
        <w:t>四、协议期限：</w:t>
      </w:r>
    </w:p>
    <w:p>
      <w:pPr>
        <w:spacing w:line="360" w:lineRule="auto"/>
        <w:rPr>
          <w:rFonts w:ascii="宋体" w:hAnsi="宋体"/>
          <w:color w:val="auto"/>
          <w:sz w:val="24"/>
          <w:highlight w:val="none"/>
        </w:rPr>
      </w:pPr>
      <w:r>
        <w:rPr>
          <w:rFonts w:hint="eastAsia" w:ascii="宋体" w:hAnsi="宋体"/>
          <w:color w:val="auto"/>
          <w:sz w:val="24"/>
          <w:highlight w:val="none"/>
        </w:rPr>
        <w:t>本项目委托代理期限</w:t>
      </w:r>
      <w:r>
        <w:rPr>
          <w:rFonts w:hint="eastAsia" w:ascii="宋体" w:hAnsi="宋体"/>
          <w:color w:val="auto"/>
          <w:sz w:val="24"/>
          <w:highlight w:val="none"/>
          <w:lang w:val="en-US" w:eastAsia="zh-CN"/>
        </w:rPr>
        <w:t>3</w:t>
      </w:r>
      <w:r>
        <w:rPr>
          <w:rFonts w:hint="eastAsia" w:ascii="宋体" w:hAnsi="宋体"/>
          <w:color w:val="auto"/>
          <w:sz w:val="24"/>
          <w:highlight w:val="none"/>
        </w:rPr>
        <w:t>年，XXXX年XX月XX日至XXXX年XX月XX日。</w:t>
      </w:r>
    </w:p>
    <w:p>
      <w:pPr>
        <w:spacing w:line="360" w:lineRule="auto"/>
        <w:rPr>
          <w:rFonts w:hint="eastAsia" w:ascii="宋体" w:hAnsi="宋体"/>
          <w:color w:val="auto"/>
          <w:sz w:val="24"/>
          <w:highlight w:val="none"/>
        </w:rPr>
      </w:pPr>
      <w:r>
        <w:rPr>
          <w:rFonts w:hint="eastAsia" w:ascii="宋体" w:hAnsi="宋体"/>
          <w:color w:val="auto"/>
          <w:sz w:val="24"/>
          <w:highlight w:val="none"/>
        </w:rPr>
        <w:t>五、违约责任</w:t>
      </w:r>
      <w:r>
        <w:rPr>
          <w:rFonts w:hint="eastAsia" w:ascii="宋体" w:hAnsi="宋体"/>
          <w:color w:val="auto"/>
          <w:sz w:val="24"/>
          <w:highlight w:val="none"/>
        </w:rPr>
        <w:tab/>
      </w:r>
    </w:p>
    <w:p>
      <w:pPr>
        <w:pStyle w:val="11"/>
        <w:spacing w:before="0" w:beforeAutospacing="0" w:after="0" w:afterAutospacing="0" w:line="360" w:lineRule="auto"/>
        <w:ind w:firstLine="480" w:firstLineChars="200"/>
        <w:rPr>
          <w:rFonts w:ascii="Times New Roman" w:hAnsi="Times New Roman"/>
          <w:color w:val="auto"/>
          <w:highlight w:val="none"/>
        </w:rPr>
      </w:pPr>
      <w:r>
        <w:rPr>
          <w:rFonts w:hint="eastAsia"/>
          <w:color w:val="auto"/>
          <w:highlight w:val="none"/>
        </w:rPr>
        <w:t>1.</w:t>
      </w:r>
      <w:r>
        <w:rPr>
          <w:rFonts w:ascii="Times New Roman"/>
          <w:color w:val="auto"/>
          <w:highlight w:val="none"/>
        </w:rPr>
        <w:t>履行本合同的过程中，确因在现有水平和条件下难以克服的政策困难，导致部分或全部失败所造成的损失，风险责任由乙方全部承担。</w:t>
      </w:r>
    </w:p>
    <w:p>
      <w:pPr>
        <w:pStyle w:val="11"/>
        <w:spacing w:before="0" w:beforeAutospacing="0" w:after="0" w:afterAutospacing="0" w:line="360" w:lineRule="auto"/>
        <w:ind w:firstLine="480" w:firstLineChars="200"/>
        <w:rPr>
          <w:color w:val="auto"/>
          <w:highlight w:val="none"/>
        </w:rPr>
      </w:pPr>
      <w:r>
        <w:rPr>
          <w:rFonts w:hint="eastAsia"/>
          <w:color w:val="auto"/>
          <w:highlight w:val="none"/>
          <w:lang w:val="en-US" w:eastAsia="zh-CN"/>
        </w:rPr>
        <w:t>2.</w:t>
      </w:r>
      <w:r>
        <w:rPr>
          <w:rFonts w:hint="eastAsia"/>
          <w:color w:val="auto"/>
          <w:highlight w:val="none"/>
        </w:rPr>
        <w:t>乙方达不到项目规定的服务和服务要求，甲方有权中止合同，违约责任由乙方承担。</w:t>
      </w:r>
    </w:p>
    <w:p>
      <w:pPr>
        <w:pStyle w:val="11"/>
        <w:spacing w:before="0" w:beforeAutospacing="0" w:after="0" w:afterAutospacing="0" w:line="360" w:lineRule="auto"/>
        <w:ind w:firstLine="480" w:firstLineChars="200"/>
        <w:rPr>
          <w:rFonts w:hint="eastAsia"/>
          <w:color w:val="auto"/>
          <w:highlight w:val="none"/>
        </w:rPr>
      </w:pPr>
      <w:r>
        <w:rPr>
          <w:rFonts w:hint="eastAsia"/>
          <w:color w:val="auto"/>
          <w:highlight w:val="none"/>
          <w:lang w:val="en-US" w:eastAsia="zh-CN"/>
        </w:rPr>
        <w:t>3</w:t>
      </w:r>
      <w:r>
        <w:rPr>
          <w:rFonts w:hint="eastAsia"/>
          <w:color w:val="auto"/>
          <w:highlight w:val="none"/>
        </w:rPr>
        <w:t>. 如因乙方的工作失误给甲方造成损失的，依据情节严重程度，经甲方确定后</w:t>
      </w:r>
      <w:r>
        <w:rPr>
          <w:rFonts w:hint="eastAsia"/>
          <w:color w:val="auto"/>
          <w:highlight w:val="none"/>
          <w:lang w:eastAsia="zh-CN"/>
        </w:rPr>
        <w:t>按照乙方收取的中标服务费处罚，最高不超过失误项目乙方收取的三倍中标服务费</w:t>
      </w:r>
      <w:r>
        <w:rPr>
          <w:rFonts w:hint="eastAsia"/>
          <w:color w:val="auto"/>
          <w:highlight w:val="none"/>
        </w:rPr>
        <w:t>。</w:t>
      </w:r>
    </w:p>
    <w:p>
      <w:pPr>
        <w:spacing w:line="360" w:lineRule="auto"/>
        <w:rPr>
          <w:rFonts w:hint="eastAsia" w:ascii="宋体" w:hAnsi="宋体"/>
          <w:color w:val="auto"/>
          <w:sz w:val="24"/>
          <w:highlight w:val="none"/>
        </w:rPr>
      </w:pPr>
      <w:r>
        <w:rPr>
          <w:rFonts w:hint="eastAsia" w:ascii="宋体" w:hAnsi="宋体"/>
          <w:color w:val="auto"/>
          <w:sz w:val="24"/>
          <w:highlight w:val="none"/>
          <w:lang w:eastAsia="zh-CN"/>
        </w:rPr>
        <w:t>六</w:t>
      </w:r>
      <w:r>
        <w:rPr>
          <w:rFonts w:hint="eastAsia" w:ascii="宋体" w:hAnsi="宋体"/>
          <w:color w:val="auto"/>
          <w:sz w:val="24"/>
          <w:highlight w:val="none"/>
        </w:rPr>
        <w:t>、争议处理</w:t>
      </w:r>
    </w:p>
    <w:p>
      <w:pPr>
        <w:spacing w:line="360" w:lineRule="auto"/>
        <w:ind w:firstLine="480" w:firstLineChars="200"/>
        <w:rPr>
          <w:bCs/>
          <w:color w:val="auto"/>
          <w:highlight w:val="none"/>
        </w:rPr>
      </w:pPr>
      <w:r>
        <w:rPr>
          <w:rFonts w:hint="eastAsia" w:ascii="宋体" w:hAnsi="宋体"/>
          <w:color w:val="auto"/>
          <w:sz w:val="24"/>
          <w:highlight w:val="none"/>
        </w:rPr>
        <w:t>双方在执</w:t>
      </w:r>
      <w:r>
        <w:rPr>
          <w:color w:val="auto"/>
          <w:highlight w:val="none"/>
        </w:rPr>
        <w:t>行合同中所发生的一切争议，应通过协商解决。如协商不成，</w:t>
      </w:r>
      <w:r>
        <w:rPr>
          <w:rFonts w:hint="eastAsia"/>
          <w:color w:val="auto"/>
          <w:highlight w:val="none"/>
        </w:rPr>
        <w:t>向甲方所在地人民法院提起诉讼</w:t>
      </w:r>
      <w:r>
        <w:rPr>
          <w:color w:val="auto"/>
          <w:highlight w:val="none"/>
        </w:rPr>
        <w:t>。</w:t>
      </w:r>
    </w:p>
    <w:p>
      <w:pPr>
        <w:spacing w:line="360" w:lineRule="auto"/>
        <w:rPr>
          <w:rFonts w:hint="eastAsia" w:ascii="宋体" w:hAnsi="宋体"/>
          <w:color w:val="auto"/>
          <w:sz w:val="24"/>
          <w:highlight w:val="none"/>
          <w:lang w:eastAsia="zh-CN"/>
        </w:rPr>
      </w:pPr>
      <w:r>
        <w:rPr>
          <w:rFonts w:hint="eastAsia" w:ascii="宋体" w:hAnsi="宋体"/>
          <w:color w:val="auto"/>
          <w:sz w:val="24"/>
          <w:highlight w:val="none"/>
          <w:lang w:eastAsia="zh-CN"/>
        </w:rPr>
        <w:t>七、其他</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1.本协议</w:t>
      </w:r>
      <w:r>
        <w:rPr>
          <w:rFonts w:ascii="宋体" w:hAnsi="宋体"/>
          <w:color w:val="auto"/>
          <w:kern w:val="0"/>
          <w:sz w:val="24"/>
          <w:highlight w:val="none"/>
        </w:rPr>
        <w:t>一式</w:t>
      </w:r>
      <w:r>
        <w:rPr>
          <w:rFonts w:hint="eastAsia" w:ascii="宋体" w:hAnsi="宋体"/>
          <w:color w:val="auto"/>
          <w:kern w:val="0"/>
          <w:sz w:val="24"/>
          <w:highlight w:val="none"/>
        </w:rPr>
        <w:t>肆</w:t>
      </w:r>
      <w:r>
        <w:rPr>
          <w:rFonts w:ascii="宋体" w:hAnsi="宋体"/>
          <w:color w:val="auto"/>
          <w:kern w:val="0"/>
          <w:sz w:val="24"/>
          <w:highlight w:val="none"/>
        </w:rPr>
        <w:t>份，甲方</w:t>
      </w:r>
      <w:r>
        <w:rPr>
          <w:rFonts w:hint="eastAsia" w:ascii="宋体" w:hAnsi="宋体"/>
          <w:color w:val="auto"/>
          <w:kern w:val="0"/>
          <w:sz w:val="24"/>
          <w:highlight w:val="none"/>
        </w:rPr>
        <w:t>叁</w:t>
      </w:r>
      <w:r>
        <w:rPr>
          <w:rFonts w:ascii="宋体" w:hAnsi="宋体"/>
          <w:color w:val="auto"/>
          <w:kern w:val="0"/>
          <w:sz w:val="24"/>
          <w:highlight w:val="none"/>
        </w:rPr>
        <w:t>份、乙方壹</w:t>
      </w:r>
      <w:r>
        <w:rPr>
          <w:rFonts w:hint="eastAsia" w:ascii="仿宋" w:hAnsi="仿宋" w:eastAsia="仿宋"/>
          <w:color w:val="auto"/>
          <w:sz w:val="24"/>
          <w:highlight w:val="none"/>
        </w:rPr>
        <w:t>份</w:t>
      </w:r>
    </w:p>
    <w:p>
      <w:pPr>
        <w:tabs>
          <w:tab w:val="left" w:pos="360"/>
        </w:tabs>
        <w:spacing w:line="600" w:lineRule="exact"/>
        <w:ind w:left="495" w:leftChars="7" w:hanging="480" w:hangingChars="200"/>
        <w:rPr>
          <w:rFonts w:ascii="宋体" w:hAnsi="宋体"/>
          <w:color w:val="auto"/>
          <w:sz w:val="24"/>
          <w:highlight w:val="none"/>
        </w:rPr>
      </w:pPr>
    </w:p>
    <w:p>
      <w:pPr>
        <w:spacing w:line="600" w:lineRule="exact"/>
        <w:rPr>
          <w:rFonts w:hint="default" w:ascii="宋体" w:hAnsi="宋体" w:eastAsia="宋体"/>
          <w:color w:val="auto"/>
          <w:sz w:val="24"/>
          <w:highlight w:val="none"/>
          <w:lang w:val="en-US" w:eastAsia="zh-CN"/>
        </w:rPr>
      </w:pPr>
      <w:r>
        <w:rPr>
          <w:rFonts w:hint="eastAsia" w:ascii="宋体" w:hAnsi="宋体"/>
          <w:color w:val="auto"/>
          <w:sz w:val="24"/>
          <w:highlight w:val="none"/>
        </w:rPr>
        <w:t>甲方（名称）（盖章）：</w:t>
      </w:r>
      <w:r>
        <w:rPr>
          <w:rFonts w:hint="eastAsia" w:ascii="宋体" w:hAnsi="宋体"/>
          <w:color w:val="auto"/>
          <w:sz w:val="24"/>
          <w:highlight w:val="none"/>
          <w:lang w:val="en-US" w:eastAsia="zh-CN"/>
        </w:rPr>
        <w:t xml:space="preserve">              </w:t>
      </w:r>
      <w:r>
        <w:rPr>
          <w:rFonts w:hint="eastAsia" w:ascii="宋体" w:hAnsi="宋体"/>
          <w:color w:val="auto"/>
          <w:sz w:val="24"/>
          <w:highlight w:val="none"/>
        </w:rPr>
        <w:t>乙方（名称）（盖章）：</w:t>
      </w:r>
    </w:p>
    <w:p>
      <w:pPr>
        <w:spacing w:line="600" w:lineRule="exact"/>
        <w:rPr>
          <w:rFonts w:hint="default" w:ascii="宋体" w:hAnsi="宋体" w:eastAsia="宋体"/>
          <w:color w:val="auto"/>
          <w:sz w:val="24"/>
          <w:highlight w:val="none"/>
          <w:lang w:val="en-US" w:eastAsia="zh-CN"/>
        </w:rPr>
      </w:pPr>
      <w:r>
        <w:rPr>
          <w:rFonts w:hint="eastAsia" w:ascii="宋体" w:hAnsi="宋体"/>
          <w:color w:val="auto"/>
          <w:sz w:val="24"/>
          <w:highlight w:val="none"/>
        </w:rPr>
        <w:t>法定代表人（或授权代表）：</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法定代表人（或授权代表）：</w:t>
      </w:r>
    </w:p>
    <w:p>
      <w:pPr>
        <w:spacing w:line="600" w:lineRule="exact"/>
        <w:rPr>
          <w:rFonts w:hint="default" w:ascii="宋体" w:hAnsi="宋体" w:eastAsia="宋体"/>
          <w:color w:val="auto"/>
          <w:sz w:val="24"/>
          <w:highlight w:val="none"/>
          <w:lang w:val="en-US" w:eastAsia="zh-CN"/>
        </w:rPr>
      </w:pPr>
      <w:r>
        <w:rPr>
          <w:rFonts w:hint="eastAsia" w:ascii="宋体" w:hAnsi="宋体"/>
          <w:color w:val="auto"/>
          <w:sz w:val="24"/>
          <w:highlight w:val="none"/>
        </w:rPr>
        <w:t>日期：　  年　  月  　日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日期：　  年　  月  　日</w:t>
      </w:r>
    </w:p>
    <w:p>
      <w:pPr>
        <w:spacing w:line="600" w:lineRule="exact"/>
        <w:rPr>
          <w:rFonts w:ascii="宋体" w:hAnsi="宋体"/>
          <w:color w:val="auto"/>
          <w:sz w:val="24"/>
          <w:highlight w:val="none"/>
        </w:rPr>
      </w:pPr>
    </w:p>
    <w:p>
      <w:pPr>
        <w:spacing w:line="600" w:lineRule="exact"/>
        <w:rPr>
          <w:rFonts w:ascii="宋体" w:hAnsi="宋体"/>
          <w:color w:val="auto"/>
          <w:sz w:val="24"/>
          <w:highlight w:val="none"/>
        </w:rPr>
      </w:pPr>
    </w:p>
    <w:p>
      <w:pPr>
        <w:spacing w:line="600" w:lineRule="exact"/>
        <w:rPr>
          <w:rFonts w:ascii="宋体" w:hAnsi="宋体"/>
          <w:color w:val="auto"/>
          <w:sz w:val="24"/>
          <w:highlight w:val="none"/>
        </w:rPr>
      </w:pPr>
    </w:p>
    <w:p>
      <w:pPr>
        <w:rPr>
          <w:rFonts w:ascii="宋体" w:hAnsi="宋体"/>
          <w:color w:val="auto"/>
          <w:sz w:val="24"/>
          <w:highlight w:val="none"/>
        </w:rPr>
      </w:pPr>
    </w:p>
    <w:p>
      <w:pPr>
        <w:rPr>
          <w:color w:val="auto"/>
          <w:sz w:val="24"/>
          <w:highlight w:val="none"/>
        </w:rPr>
      </w:pPr>
    </w:p>
    <w:p>
      <w:pPr>
        <w:snapToGrid w:val="0"/>
        <w:spacing w:line="360" w:lineRule="auto"/>
        <w:jc w:val="center"/>
        <w:rPr>
          <w:b/>
          <w:bCs/>
          <w:color w:val="auto"/>
          <w:sz w:val="32"/>
          <w:highlight w:val="none"/>
        </w:rPr>
      </w:pPr>
      <w:r>
        <w:rPr>
          <w:b/>
          <w:bCs/>
          <w:color w:val="auto"/>
          <w:sz w:val="32"/>
          <w:highlight w:val="none"/>
        </w:rPr>
        <w:br w:type="page"/>
      </w:r>
      <w:r>
        <w:rPr>
          <w:rFonts w:hAnsi="宋体"/>
          <w:b/>
          <w:bCs/>
          <w:color w:val="auto"/>
          <w:sz w:val="32"/>
          <w:highlight w:val="none"/>
        </w:rPr>
        <w:t>第</w:t>
      </w:r>
      <w:r>
        <w:rPr>
          <w:rFonts w:hint="eastAsia" w:hAnsi="宋体"/>
          <w:b/>
          <w:bCs/>
          <w:color w:val="auto"/>
          <w:sz w:val="32"/>
          <w:highlight w:val="none"/>
        </w:rPr>
        <w:t>五</w:t>
      </w:r>
      <w:r>
        <w:rPr>
          <w:rFonts w:hAnsi="宋体"/>
          <w:b/>
          <w:bCs/>
          <w:color w:val="auto"/>
          <w:sz w:val="32"/>
          <w:highlight w:val="none"/>
        </w:rPr>
        <w:t>章</w:t>
      </w:r>
      <w:r>
        <w:rPr>
          <w:rFonts w:hint="eastAsia" w:hAnsi="宋体"/>
          <w:b/>
          <w:bCs/>
          <w:color w:val="auto"/>
          <w:sz w:val="32"/>
          <w:highlight w:val="none"/>
          <w:lang w:val="en-US" w:eastAsia="zh-CN"/>
        </w:rPr>
        <w:t xml:space="preserve">   </w:t>
      </w:r>
      <w:r>
        <w:rPr>
          <w:rFonts w:hAnsi="宋体"/>
          <w:b/>
          <w:color w:val="auto"/>
          <w:sz w:val="32"/>
          <w:highlight w:val="none"/>
        </w:rPr>
        <w:t>附件</w:t>
      </w:r>
    </w:p>
    <w:p>
      <w:pPr>
        <w:snapToGrid w:val="0"/>
        <w:spacing w:line="360" w:lineRule="auto"/>
        <w:ind w:firstLine="420"/>
        <w:jc w:val="center"/>
        <w:rPr>
          <w:b/>
          <w:bCs/>
          <w:color w:val="auto"/>
          <w:sz w:val="32"/>
          <w:highlight w:val="none"/>
        </w:rPr>
      </w:pPr>
    </w:p>
    <w:p>
      <w:pPr>
        <w:snapToGrid w:val="0"/>
        <w:spacing w:line="360" w:lineRule="auto"/>
        <w:rPr>
          <w:b/>
          <w:bCs/>
          <w:color w:val="auto"/>
          <w:sz w:val="28"/>
          <w:szCs w:val="28"/>
          <w:highlight w:val="none"/>
        </w:rPr>
      </w:pPr>
      <w:r>
        <w:rPr>
          <w:rFonts w:hAnsi="宋体"/>
          <w:b/>
          <w:bCs/>
          <w:color w:val="auto"/>
          <w:sz w:val="28"/>
          <w:szCs w:val="28"/>
          <w:highlight w:val="none"/>
        </w:rPr>
        <w:t>遴选响应文件部分格式</w:t>
      </w:r>
    </w:p>
    <w:p>
      <w:pPr>
        <w:spacing w:line="360" w:lineRule="auto"/>
        <w:jc w:val="center"/>
        <w:rPr>
          <w:b/>
          <w:color w:val="auto"/>
          <w:sz w:val="32"/>
          <w:highlight w:val="none"/>
        </w:rPr>
      </w:pPr>
      <w:r>
        <w:rPr>
          <w:rFonts w:hint="eastAsia" w:hAnsi="宋体"/>
          <w:b/>
          <w:color w:val="auto"/>
          <w:sz w:val="28"/>
          <w:szCs w:val="28"/>
          <w:highlight w:val="none"/>
          <w:lang w:eastAsia="zh-CN"/>
        </w:rPr>
        <w:t>附件</w:t>
      </w:r>
      <w:r>
        <w:rPr>
          <w:rFonts w:hAnsi="宋体"/>
          <w:b/>
          <w:color w:val="auto"/>
          <w:sz w:val="28"/>
          <w:szCs w:val="28"/>
          <w:highlight w:val="none"/>
        </w:rPr>
        <w:t>一</w:t>
      </w:r>
      <w:r>
        <w:rPr>
          <w:rFonts w:hint="eastAsia" w:hAnsi="宋体"/>
          <w:b/>
          <w:color w:val="auto"/>
          <w:sz w:val="28"/>
          <w:szCs w:val="28"/>
          <w:highlight w:val="none"/>
          <w:lang w:val="en-US" w:eastAsia="zh-CN"/>
        </w:rPr>
        <w:t xml:space="preserve">  </w:t>
      </w:r>
      <w:r>
        <w:rPr>
          <w:rFonts w:hint="eastAsia" w:hAnsi="宋体"/>
          <w:b/>
          <w:color w:val="auto"/>
          <w:sz w:val="28"/>
          <w:szCs w:val="28"/>
          <w:highlight w:val="none"/>
        </w:rPr>
        <w:t>响应</w:t>
      </w:r>
      <w:r>
        <w:rPr>
          <w:rFonts w:hAnsi="宋体"/>
          <w:b/>
          <w:color w:val="auto"/>
          <w:sz w:val="28"/>
          <w:szCs w:val="28"/>
          <w:highlight w:val="none"/>
        </w:rPr>
        <w:t>函</w:t>
      </w:r>
    </w:p>
    <w:p>
      <w:pPr>
        <w:spacing w:line="360" w:lineRule="auto"/>
        <w:ind w:left="540" w:leftChars="257" w:firstLine="2688" w:firstLineChars="960"/>
        <w:rPr>
          <w:color w:val="auto"/>
          <w:sz w:val="28"/>
          <w:szCs w:val="28"/>
          <w:highlight w:val="none"/>
        </w:rPr>
      </w:pPr>
    </w:p>
    <w:p>
      <w:pPr>
        <w:spacing w:line="360" w:lineRule="auto"/>
        <w:jc w:val="left"/>
        <w:rPr>
          <w:rFonts w:hint="eastAsia" w:hAnsi="宋体" w:eastAsia="宋体"/>
          <w:b/>
          <w:bCs/>
          <w:color w:val="auto"/>
          <w:sz w:val="28"/>
          <w:szCs w:val="28"/>
          <w:highlight w:val="none"/>
          <w:lang w:eastAsia="zh-CN"/>
        </w:rPr>
      </w:pPr>
      <w:r>
        <w:rPr>
          <w:rFonts w:hAnsi="宋体"/>
          <w:b/>
          <w:color w:val="auto"/>
          <w:sz w:val="28"/>
          <w:szCs w:val="28"/>
          <w:highlight w:val="none"/>
        </w:rPr>
        <w:t>致</w:t>
      </w:r>
      <w:r>
        <w:rPr>
          <w:rFonts w:hAnsi="宋体"/>
          <w:b/>
          <w:bCs/>
          <w:color w:val="auto"/>
          <w:sz w:val="28"/>
          <w:szCs w:val="28"/>
          <w:highlight w:val="none"/>
        </w:rPr>
        <w:t>：</w:t>
      </w:r>
      <w:r>
        <w:rPr>
          <w:rFonts w:hint="eastAsia" w:hAnsi="宋体"/>
          <w:b/>
          <w:bCs/>
          <w:color w:val="auto"/>
          <w:sz w:val="28"/>
          <w:szCs w:val="28"/>
          <w:highlight w:val="none"/>
          <w:lang w:eastAsia="zh-CN"/>
        </w:rPr>
        <w:t>永嘉县人民医院</w:t>
      </w:r>
    </w:p>
    <w:p>
      <w:pPr>
        <w:spacing w:line="360" w:lineRule="auto"/>
        <w:ind w:firstLine="560" w:firstLineChars="200"/>
        <w:rPr>
          <w:rFonts w:hAnsi="宋体"/>
          <w:color w:val="auto"/>
          <w:sz w:val="28"/>
          <w:szCs w:val="28"/>
          <w:highlight w:val="none"/>
        </w:rPr>
      </w:pPr>
      <w:r>
        <w:rPr>
          <w:color w:val="auto"/>
          <w:sz w:val="28"/>
          <w:szCs w:val="28"/>
          <w:highlight w:val="none"/>
        </w:rPr>
        <w:t>(</w:t>
      </w:r>
      <w:r>
        <w:rPr>
          <w:rFonts w:hAnsi="宋体"/>
          <w:color w:val="auto"/>
          <w:sz w:val="28"/>
          <w:szCs w:val="28"/>
          <w:highlight w:val="none"/>
        </w:rPr>
        <w:t>招标代理机构全称</w:t>
      </w:r>
      <w:r>
        <w:rPr>
          <w:color w:val="auto"/>
          <w:sz w:val="28"/>
          <w:szCs w:val="28"/>
          <w:highlight w:val="none"/>
        </w:rPr>
        <w:t>)</w:t>
      </w:r>
      <w:r>
        <w:rPr>
          <w:rFonts w:hAnsi="宋体"/>
          <w:color w:val="auto"/>
          <w:sz w:val="28"/>
          <w:szCs w:val="28"/>
          <w:highlight w:val="none"/>
        </w:rPr>
        <w:t>授权（全名、职务）为全权代表，参加贵方组织</w:t>
      </w:r>
      <w:r>
        <w:rPr>
          <w:rFonts w:hint="eastAsia" w:hAnsi="宋体"/>
          <w:color w:val="auto"/>
          <w:sz w:val="28"/>
          <w:szCs w:val="28"/>
          <w:highlight w:val="none"/>
        </w:rPr>
        <w:t>永嘉县医疗卫生服务能力保障提升项目（人民医院迁建工程）招标代理机构遴选</w:t>
      </w:r>
      <w:r>
        <w:rPr>
          <w:rFonts w:hAnsi="宋体"/>
          <w:color w:val="auto"/>
          <w:sz w:val="28"/>
          <w:szCs w:val="28"/>
          <w:highlight w:val="none"/>
        </w:rPr>
        <w:t>，为此：</w:t>
      </w:r>
    </w:p>
    <w:p>
      <w:pPr>
        <w:spacing w:line="360" w:lineRule="auto"/>
        <w:jc w:val="left"/>
        <w:rPr>
          <w:rFonts w:hAnsi="宋体"/>
          <w:color w:val="auto"/>
          <w:sz w:val="28"/>
          <w:szCs w:val="28"/>
          <w:highlight w:val="none"/>
        </w:rPr>
      </w:pPr>
      <w:r>
        <w:rPr>
          <w:color w:val="auto"/>
          <w:sz w:val="28"/>
          <w:szCs w:val="28"/>
          <w:highlight w:val="none"/>
        </w:rPr>
        <w:t>1</w:t>
      </w:r>
      <w:r>
        <w:rPr>
          <w:rFonts w:hAnsi="宋体"/>
          <w:color w:val="auto"/>
          <w:sz w:val="28"/>
          <w:szCs w:val="28"/>
          <w:highlight w:val="none"/>
        </w:rPr>
        <w:t>、提供遴选文件中规定须提交的所有内容。</w:t>
      </w:r>
    </w:p>
    <w:p>
      <w:pPr>
        <w:spacing w:line="360" w:lineRule="auto"/>
        <w:jc w:val="left"/>
        <w:rPr>
          <w:rFonts w:hAnsi="宋体"/>
          <w:color w:val="auto"/>
          <w:kern w:val="0"/>
          <w:sz w:val="28"/>
          <w:szCs w:val="28"/>
          <w:highlight w:val="none"/>
        </w:rPr>
      </w:pPr>
      <w:r>
        <w:rPr>
          <w:rFonts w:hint="eastAsia" w:hAnsi="宋体"/>
          <w:color w:val="auto"/>
          <w:sz w:val="28"/>
          <w:szCs w:val="28"/>
          <w:highlight w:val="none"/>
        </w:rPr>
        <w:t>2、</w:t>
      </w:r>
      <w:r>
        <w:rPr>
          <w:rFonts w:hint="eastAsia" w:hAnsi="宋体"/>
          <w:color w:val="auto"/>
          <w:kern w:val="0"/>
          <w:sz w:val="28"/>
          <w:szCs w:val="28"/>
          <w:highlight w:val="none"/>
        </w:rPr>
        <w:t>本响应文件有效期为自响应文件递交之日起个日历日。</w:t>
      </w:r>
    </w:p>
    <w:p>
      <w:pPr>
        <w:spacing w:line="360" w:lineRule="auto"/>
        <w:jc w:val="left"/>
        <w:rPr>
          <w:rFonts w:hAnsi="宋体"/>
          <w:color w:val="auto"/>
          <w:sz w:val="28"/>
          <w:szCs w:val="28"/>
          <w:highlight w:val="none"/>
        </w:rPr>
      </w:pPr>
      <w:r>
        <w:rPr>
          <w:rFonts w:hint="eastAsia" w:hAnsi="宋体"/>
          <w:color w:val="auto"/>
          <w:kern w:val="0"/>
          <w:sz w:val="28"/>
          <w:szCs w:val="28"/>
          <w:highlight w:val="none"/>
        </w:rPr>
        <w:t>3、</w:t>
      </w:r>
      <w:r>
        <w:rPr>
          <w:rFonts w:hAnsi="宋体"/>
          <w:color w:val="auto"/>
          <w:sz w:val="28"/>
          <w:szCs w:val="28"/>
          <w:highlight w:val="none"/>
        </w:rPr>
        <w:t>若</w:t>
      </w:r>
      <w:r>
        <w:rPr>
          <w:rFonts w:hint="eastAsia" w:hAnsi="宋体"/>
          <w:color w:val="auto"/>
          <w:sz w:val="28"/>
          <w:szCs w:val="28"/>
          <w:highlight w:val="none"/>
        </w:rPr>
        <w:t>遴选成功</w:t>
      </w:r>
      <w:r>
        <w:rPr>
          <w:rFonts w:hAnsi="宋体"/>
          <w:color w:val="auto"/>
          <w:sz w:val="28"/>
          <w:szCs w:val="28"/>
          <w:highlight w:val="none"/>
        </w:rPr>
        <w:t>，我方将按遴选文件规定履行合同责任和义务。</w:t>
      </w:r>
    </w:p>
    <w:p>
      <w:pPr>
        <w:spacing w:line="360" w:lineRule="auto"/>
        <w:jc w:val="left"/>
        <w:rPr>
          <w:color w:val="auto"/>
          <w:sz w:val="28"/>
          <w:szCs w:val="28"/>
          <w:highlight w:val="none"/>
        </w:rPr>
      </w:pPr>
      <w:r>
        <w:rPr>
          <w:rFonts w:hint="eastAsia" w:hAnsi="宋体"/>
          <w:color w:val="auto"/>
          <w:sz w:val="28"/>
          <w:szCs w:val="28"/>
          <w:highlight w:val="none"/>
        </w:rPr>
        <w:t>4、</w:t>
      </w:r>
      <w:r>
        <w:rPr>
          <w:rFonts w:hAnsi="宋体"/>
          <w:color w:val="auto"/>
          <w:sz w:val="28"/>
          <w:szCs w:val="28"/>
          <w:highlight w:val="none"/>
        </w:rPr>
        <w:t>我方同意提供按照贵方的要求的一切数据或资料，并保证其真实性、合法性。</w:t>
      </w:r>
    </w:p>
    <w:p>
      <w:pPr>
        <w:spacing w:line="360" w:lineRule="auto"/>
        <w:jc w:val="left"/>
        <w:rPr>
          <w:color w:val="auto"/>
          <w:sz w:val="28"/>
          <w:szCs w:val="28"/>
          <w:highlight w:val="none"/>
        </w:rPr>
      </w:pPr>
      <w:r>
        <w:rPr>
          <w:color w:val="auto"/>
          <w:sz w:val="28"/>
          <w:szCs w:val="28"/>
          <w:highlight w:val="none"/>
        </w:rPr>
        <w:t>5</w:t>
      </w:r>
      <w:r>
        <w:rPr>
          <w:rFonts w:hAnsi="宋体"/>
          <w:color w:val="auto"/>
          <w:sz w:val="28"/>
          <w:szCs w:val="28"/>
          <w:highlight w:val="none"/>
        </w:rPr>
        <w:t>、我方与本次</w:t>
      </w:r>
      <w:r>
        <w:rPr>
          <w:rFonts w:hint="eastAsia" w:hAnsi="宋体"/>
          <w:color w:val="auto"/>
          <w:sz w:val="28"/>
          <w:szCs w:val="28"/>
          <w:highlight w:val="none"/>
        </w:rPr>
        <w:t>遴选</w:t>
      </w:r>
      <w:r>
        <w:rPr>
          <w:rFonts w:hAnsi="宋体"/>
          <w:color w:val="auto"/>
          <w:sz w:val="28"/>
          <w:szCs w:val="28"/>
          <w:highlight w:val="none"/>
        </w:rPr>
        <w:t>有关的一切正式来往通讯请寄：</w:t>
      </w:r>
    </w:p>
    <w:p>
      <w:pPr>
        <w:spacing w:line="360" w:lineRule="auto"/>
        <w:ind w:left="540" w:firstLine="30"/>
        <w:jc w:val="left"/>
        <w:rPr>
          <w:color w:val="auto"/>
          <w:sz w:val="28"/>
          <w:szCs w:val="28"/>
          <w:highlight w:val="none"/>
        </w:rPr>
      </w:pPr>
      <w:r>
        <w:rPr>
          <w:rFonts w:hAnsi="宋体"/>
          <w:color w:val="auto"/>
          <w:sz w:val="28"/>
          <w:szCs w:val="28"/>
          <w:highlight w:val="none"/>
        </w:rPr>
        <w:t>地址：邮编：</w:t>
      </w:r>
    </w:p>
    <w:p>
      <w:pPr>
        <w:spacing w:line="360" w:lineRule="auto"/>
        <w:ind w:left="540" w:firstLine="30"/>
        <w:jc w:val="left"/>
        <w:rPr>
          <w:color w:val="auto"/>
          <w:sz w:val="28"/>
          <w:szCs w:val="28"/>
          <w:highlight w:val="none"/>
        </w:rPr>
      </w:pPr>
      <w:r>
        <w:rPr>
          <w:rFonts w:hAnsi="宋体"/>
          <w:color w:val="auto"/>
          <w:sz w:val="28"/>
          <w:szCs w:val="28"/>
          <w:highlight w:val="none"/>
        </w:rPr>
        <w:t>电话：传真：</w:t>
      </w:r>
    </w:p>
    <w:p>
      <w:pPr>
        <w:spacing w:line="360" w:lineRule="auto"/>
        <w:ind w:left="540" w:firstLine="30"/>
        <w:jc w:val="left"/>
        <w:rPr>
          <w:color w:val="auto"/>
          <w:sz w:val="28"/>
          <w:szCs w:val="28"/>
          <w:highlight w:val="none"/>
        </w:rPr>
      </w:pPr>
    </w:p>
    <w:p>
      <w:pPr>
        <w:spacing w:line="360" w:lineRule="auto"/>
        <w:jc w:val="left"/>
        <w:rPr>
          <w:color w:val="auto"/>
          <w:sz w:val="28"/>
          <w:szCs w:val="28"/>
          <w:highlight w:val="none"/>
        </w:rPr>
      </w:pPr>
      <w:r>
        <w:rPr>
          <w:rFonts w:hint="eastAsia" w:hAnsi="宋体"/>
          <w:color w:val="auto"/>
          <w:sz w:val="28"/>
          <w:szCs w:val="28"/>
          <w:highlight w:val="none"/>
        </w:rPr>
        <w:t>招标代理机构</w:t>
      </w:r>
      <w:r>
        <w:rPr>
          <w:rFonts w:hAnsi="宋体"/>
          <w:color w:val="auto"/>
          <w:sz w:val="28"/>
          <w:szCs w:val="28"/>
          <w:highlight w:val="none"/>
        </w:rPr>
        <w:t>单位名称：（公章）</w:t>
      </w:r>
    </w:p>
    <w:p>
      <w:pPr>
        <w:spacing w:line="360" w:lineRule="auto"/>
        <w:jc w:val="left"/>
        <w:rPr>
          <w:color w:val="auto"/>
          <w:sz w:val="28"/>
          <w:szCs w:val="28"/>
          <w:highlight w:val="none"/>
        </w:rPr>
      </w:pPr>
      <w:r>
        <w:rPr>
          <w:rFonts w:hAnsi="宋体"/>
          <w:color w:val="auto"/>
          <w:sz w:val="28"/>
          <w:szCs w:val="28"/>
          <w:highlight w:val="none"/>
        </w:rPr>
        <w:t>招标代理机构代表签字：</w:t>
      </w:r>
    </w:p>
    <w:p>
      <w:pPr>
        <w:spacing w:line="360" w:lineRule="auto"/>
        <w:jc w:val="left"/>
        <w:rPr>
          <w:color w:val="auto"/>
          <w:sz w:val="28"/>
          <w:szCs w:val="28"/>
          <w:highlight w:val="none"/>
        </w:rPr>
      </w:pPr>
      <w:r>
        <w:rPr>
          <w:rFonts w:hAnsi="宋体"/>
          <w:color w:val="auto"/>
          <w:sz w:val="28"/>
          <w:szCs w:val="28"/>
          <w:highlight w:val="none"/>
        </w:rPr>
        <w:t>日期：年月日</w:t>
      </w:r>
    </w:p>
    <w:p>
      <w:pPr>
        <w:jc w:val="center"/>
        <w:rPr>
          <w:b/>
          <w:color w:val="auto"/>
          <w:sz w:val="28"/>
          <w:szCs w:val="28"/>
          <w:highlight w:val="none"/>
        </w:rPr>
      </w:pPr>
      <w:r>
        <w:rPr>
          <w:color w:val="auto"/>
          <w:sz w:val="28"/>
          <w:szCs w:val="28"/>
          <w:highlight w:val="none"/>
        </w:rPr>
        <w:br w:type="page"/>
      </w:r>
      <w:r>
        <w:rPr>
          <w:rFonts w:hint="eastAsia" w:hAnsi="宋体"/>
          <w:b/>
          <w:color w:val="auto"/>
          <w:sz w:val="28"/>
          <w:szCs w:val="28"/>
          <w:highlight w:val="none"/>
          <w:lang w:eastAsia="zh-CN"/>
        </w:rPr>
        <w:t>附件二</w:t>
      </w:r>
      <w:r>
        <w:rPr>
          <w:rFonts w:hint="eastAsia" w:hAnsi="宋体"/>
          <w:b/>
          <w:color w:val="auto"/>
          <w:sz w:val="28"/>
          <w:szCs w:val="28"/>
          <w:highlight w:val="none"/>
          <w:lang w:val="en-US" w:eastAsia="zh-CN"/>
        </w:rPr>
        <w:t xml:space="preserve">  </w:t>
      </w:r>
      <w:r>
        <w:rPr>
          <w:rFonts w:hint="eastAsia" w:hAnsi="宋体"/>
          <w:b/>
          <w:color w:val="auto"/>
          <w:sz w:val="28"/>
          <w:szCs w:val="28"/>
          <w:highlight w:val="none"/>
        </w:rPr>
        <w:t>报价</w:t>
      </w:r>
      <w:r>
        <w:rPr>
          <w:rFonts w:hAnsi="宋体"/>
          <w:b/>
          <w:color w:val="auto"/>
          <w:sz w:val="28"/>
          <w:szCs w:val="28"/>
          <w:highlight w:val="none"/>
        </w:rPr>
        <w:t>一览表</w:t>
      </w:r>
    </w:p>
    <w:p>
      <w:pPr>
        <w:ind w:firstLine="281" w:firstLineChars="100"/>
        <w:rPr>
          <w:b/>
          <w:color w:val="auto"/>
          <w:sz w:val="28"/>
          <w:highlight w:val="none"/>
        </w:rPr>
      </w:pPr>
    </w:p>
    <w:p>
      <w:pPr>
        <w:rPr>
          <w:b/>
          <w:color w:val="auto"/>
          <w:sz w:val="24"/>
          <w:highlight w:val="none"/>
        </w:rPr>
      </w:pPr>
    </w:p>
    <w:tbl>
      <w:tblPr>
        <w:tblStyle w:val="12"/>
        <w:tblW w:w="8460"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6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90" w:hRule="atLeast"/>
        </w:trPr>
        <w:tc>
          <w:tcPr>
            <w:tcW w:w="8460" w:type="dxa"/>
            <w:vAlign w:val="center"/>
          </w:tcPr>
          <w:p>
            <w:pPr>
              <w:jc w:val="center"/>
              <w:rPr>
                <w:b/>
                <w:color w:val="auto"/>
                <w:sz w:val="28"/>
                <w:szCs w:val="28"/>
                <w:highlight w:val="none"/>
              </w:rPr>
            </w:pPr>
            <w:r>
              <w:rPr>
                <w:rFonts w:hAnsi="宋体"/>
                <w:b/>
                <w:color w:val="auto"/>
                <w:sz w:val="28"/>
                <w:szCs w:val="28"/>
                <w:highlight w:val="none"/>
              </w:rPr>
              <w:t>招标代理服务收费标准基础上的</w:t>
            </w:r>
            <w:r>
              <w:rPr>
                <w:rFonts w:hint="eastAsia" w:hAnsi="宋体"/>
                <w:b/>
                <w:color w:val="auto"/>
                <w:sz w:val="28"/>
                <w:szCs w:val="28"/>
                <w:highlight w:val="none"/>
              </w:rPr>
              <w:t>折扣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90" w:hRule="atLeast"/>
        </w:trPr>
        <w:tc>
          <w:tcPr>
            <w:tcW w:w="8460" w:type="dxa"/>
            <w:vAlign w:val="center"/>
          </w:tcPr>
          <w:p>
            <w:pPr>
              <w:jc w:val="center"/>
              <w:rPr>
                <w:color w:val="auto"/>
                <w:sz w:val="28"/>
                <w:szCs w:val="28"/>
                <w:highlight w:val="none"/>
                <w:u w:val="single"/>
              </w:rPr>
            </w:pPr>
            <w:r>
              <w:rPr>
                <w:rFonts w:hint="eastAsia"/>
                <w:color w:val="auto"/>
                <w:sz w:val="28"/>
                <w:szCs w:val="28"/>
                <w:highlight w:val="none"/>
                <w:u w:val="single"/>
              </w:rPr>
              <w:t>（</w:t>
            </w:r>
            <w:r>
              <w:rPr>
                <w:rFonts w:hint="eastAsia"/>
                <w:color w:val="auto"/>
                <w:sz w:val="28"/>
                <w:szCs w:val="28"/>
                <w:highlight w:val="none"/>
              </w:rPr>
              <w:t>用中文描述）</w:t>
            </w:r>
          </w:p>
        </w:tc>
      </w:tr>
    </w:tbl>
    <w:p>
      <w:pPr>
        <w:spacing w:line="480" w:lineRule="auto"/>
        <w:ind w:firstLine="280" w:firstLineChars="100"/>
        <w:rPr>
          <w:rFonts w:hint="default"/>
          <w:color w:val="auto"/>
          <w:sz w:val="28"/>
          <w:szCs w:val="28"/>
          <w:highlight w:val="none"/>
          <w:u w:val="single"/>
          <w:lang w:val="en-US" w:eastAsia="zh-CN"/>
        </w:rPr>
      </w:pPr>
      <w:r>
        <w:rPr>
          <w:color w:val="auto"/>
          <w:sz w:val="28"/>
          <w:szCs w:val="28"/>
          <w:highlight w:val="none"/>
          <w:u w:val="single"/>
        </w:rPr>
        <w:t>▲</w:t>
      </w:r>
      <w:r>
        <w:rPr>
          <w:rFonts w:hint="eastAsia"/>
          <w:color w:val="auto"/>
          <w:sz w:val="28"/>
          <w:szCs w:val="28"/>
          <w:highlight w:val="none"/>
          <w:u w:val="single"/>
          <w:lang w:eastAsia="zh-CN"/>
        </w:rPr>
        <w:t>注：</w:t>
      </w:r>
      <w:r>
        <w:rPr>
          <w:rFonts w:hint="eastAsia"/>
          <w:color w:val="auto"/>
          <w:sz w:val="28"/>
          <w:szCs w:val="28"/>
          <w:highlight w:val="none"/>
          <w:u w:val="single"/>
          <w:lang w:val="en-US" w:eastAsia="zh-CN"/>
        </w:rPr>
        <w:t>报价上限为九折，超过上限为无效标。</w:t>
      </w:r>
    </w:p>
    <w:p>
      <w:pPr>
        <w:spacing w:line="480" w:lineRule="auto"/>
        <w:ind w:firstLine="280" w:firstLineChars="100"/>
        <w:rPr>
          <w:color w:val="auto"/>
          <w:sz w:val="28"/>
          <w:szCs w:val="28"/>
          <w:highlight w:val="none"/>
        </w:rPr>
      </w:pPr>
    </w:p>
    <w:p>
      <w:pPr>
        <w:spacing w:line="480" w:lineRule="auto"/>
        <w:ind w:firstLine="280" w:firstLineChars="100"/>
        <w:rPr>
          <w:color w:val="auto"/>
          <w:sz w:val="28"/>
          <w:szCs w:val="28"/>
          <w:highlight w:val="none"/>
          <w:u w:val="single"/>
        </w:rPr>
      </w:pPr>
      <w:r>
        <w:rPr>
          <w:rFonts w:hint="eastAsia" w:hAnsi="宋体"/>
          <w:color w:val="auto"/>
          <w:sz w:val="28"/>
          <w:szCs w:val="28"/>
          <w:highlight w:val="none"/>
        </w:rPr>
        <w:t>招标代理机构</w:t>
      </w:r>
      <w:r>
        <w:rPr>
          <w:rFonts w:hAnsi="宋体"/>
          <w:color w:val="auto"/>
          <w:sz w:val="28"/>
          <w:szCs w:val="28"/>
          <w:highlight w:val="none"/>
        </w:rPr>
        <w:t>名称：</w:t>
      </w:r>
    </w:p>
    <w:p>
      <w:pPr>
        <w:spacing w:line="480" w:lineRule="auto"/>
        <w:ind w:firstLine="280" w:firstLineChars="100"/>
        <w:rPr>
          <w:color w:val="auto"/>
          <w:sz w:val="28"/>
          <w:szCs w:val="28"/>
          <w:highlight w:val="none"/>
        </w:rPr>
      </w:pPr>
      <w:r>
        <w:rPr>
          <w:rFonts w:hAnsi="宋体"/>
          <w:color w:val="auto"/>
          <w:sz w:val="28"/>
          <w:szCs w:val="28"/>
          <w:highlight w:val="none"/>
        </w:rPr>
        <w:t>（单位公章）</w:t>
      </w:r>
    </w:p>
    <w:p>
      <w:pPr>
        <w:spacing w:line="480" w:lineRule="auto"/>
        <w:rPr>
          <w:color w:val="auto"/>
          <w:sz w:val="28"/>
          <w:szCs w:val="28"/>
          <w:highlight w:val="none"/>
        </w:rPr>
      </w:pPr>
    </w:p>
    <w:p>
      <w:pPr>
        <w:spacing w:line="480" w:lineRule="auto"/>
        <w:ind w:firstLine="280" w:firstLineChars="100"/>
        <w:rPr>
          <w:rFonts w:hAnsi="宋体"/>
          <w:color w:val="auto"/>
          <w:sz w:val="28"/>
          <w:szCs w:val="28"/>
          <w:highlight w:val="none"/>
        </w:rPr>
      </w:pPr>
      <w:r>
        <w:rPr>
          <w:rFonts w:hAnsi="宋体"/>
          <w:color w:val="auto"/>
          <w:sz w:val="28"/>
          <w:szCs w:val="28"/>
          <w:highlight w:val="none"/>
        </w:rPr>
        <w:t>招标代理机构代表签字：</w:t>
      </w:r>
    </w:p>
    <w:p>
      <w:pPr>
        <w:spacing w:line="480" w:lineRule="auto"/>
        <w:ind w:firstLine="280" w:firstLineChars="100"/>
        <w:rPr>
          <w:rFonts w:hAnsi="宋体"/>
          <w:color w:val="auto"/>
          <w:sz w:val="28"/>
          <w:szCs w:val="28"/>
          <w:highlight w:val="none"/>
          <w:u w:val="single"/>
        </w:rPr>
      </w:pPr>
      <w:r>
        <w:rPr>
          <w:rFonts w:hAnsi="宋体"/>
          <w:color w:val="auto"/>
          <w:sz w:val="28"/>
          <w:szCs w:val="28"/>
          <w:highlight w:val="none"/>
        </w:rPr>
        <w:t>日期：</w:t>
      </w:r>
    </w:p>
    <w:p>
      <w:pPr>
        <w:spacing w:line="480" w:lineRule="auto"/>
        <w:ind w:firstLine="280" w:firstLineChars="100"/>
        <w:rPr>
          <w:color w:val="auto"/>
          <w:sz w:val="28"/>
          <w:szCs w:val="28"/>
          <w:highlight w:val="none"/>
          <w:u w:val="single"/>
        </w:rPr>
      </w:pPr>
    </w:p>
    <w:p>
      <w:pPr>
        <w:spacing w:line="360" w:lineRule="auto"/>
        <w:ind w:left="1276" w:hanging="1276"/>
        <w:rPr>
          <w:color w:val="auto"/>
          <w:sz w:val="28"/>
          <w:szCs w:val="28"/>
          <w:highlight w:val="none"/>
        </w:rPr>
      </w:pPr>
    </w:p>
    <w:p>
      <w:pPr>
        <w:jc w:val="center"/>
        <w:rPr>
          <w:rFonts w:hAnsi="宋体"/>
          <w:b/>
          <w:bCs/>
          <w:color w:val="auto"/>
          <w:kern w:val="0"/>
          <w:sz w:val="28"/>
          <w:szCs w:val="28"/>
          <w:highlight w:val="none"/>
        </w:rPr>
      </w:pPr>
      <w:r>
        <w:rPr>
          <w:color w:val="auto"/>
          <w:sz w:val="28"/>
          <w:szCs w:val="28"/>
          <w:highlight w:val="none"/>
        </w:rPr>
        <w:br w:type="page"/>
      </w:r>
    </w:p>
    <w:p>
      <w:pPr>
        <w:jc w:val="center"/>
        <w:rPr>
          <w:b/>
          <w:bCs/>
          <w:color w:val="auto"/>
          <w:sz w:val="28"/>
          <w:szCs w:val="28"/>
          <w:highlight w:val="none"/>
        </w:rPr>
      </w:pPr>
      <w:r>
        <w:rPr>
          <w:rFonts w:hint="eastAsia" w:hAnsi="宋体"/>
          <w:b/>
          <w:color w:val="auto"/>
          <w:sz w:val="28"/>
          <w:szCs w:val="28"/>
          <w:highlight w:val="none"/>
          <w:lang w:eastAsia="zh-CN"/>
        </w:rPr>
        <w:t>附件三</w:t>
      </w:r>
      <w:r>
        <w:rPr>
          <w:rFonts w:hint="eastAsia" w:hAnsi="宋体"/>
          <w:b/>
          <w:color w:val="auto"/>
          <w:sz w:val="28"/>
          <w:szCs w:val="28"/>
          <w:highlight w:val="none"/>
          <w:lang w:val="en-US" w:eastAsia="zh-CN"/>
        </w:rPr>
        <w:t xml:space="preserve">  </w:t>
      </w:r>
      <w:r>
        <w:rPr>
          <w:rFonts w:hAnsi="宋体"/>
          <w:b/>
          <w:bCs/>
          <w:color w:val="auto"/>
          <w:sz w:val="28"/>
          <w:szCs w:val="28"/>
          <w:highlight w:val="none"/>
        </w:rPr>
        <w:t>法定代表人授权书</w:t>
      </w:r>
    </w:p>
    <w:p>
      <w:pPr>
        <w:spacing w:line="480" w:lineRule="auto"/>
        <w:rPr>
          <w:color w:val="auto"/>
          <w:sz w:val="36"/>
          <w:highlight w:val="none"/>
        </w:rPr>
      </w:pPr>
    </w:p>
    <w:p>
      <w:pPr>
        <w:spacing w:line="480" w:lineRule="auto"/>
        <w:rPr>
          <w:rFonts w:hint="eastAsia" w:hAnsi="宋体" w:eastAsia="宋体"/>
          <w:b/>
          <w:color w:val="auto"/>
          <w:sz w:val="28"/>
          <w:szCs w:val="28"/>
          <w:highlight w:val="none"/>
          <w:lang w:eastAsia="zh-CN"/>
        </w:rPr>
      </w:pPr>
      <w:r>
        <w:rPr>
          <w:rFonts w:hAnsi="宋体"/>
          <w:b/>
          <w:color w:val="auto"/>
          <w:sz w:val="28"/>
          <w:szCs w:val="28"/>
          <w:highlight w:val="none"/>
        </w:rPr>
        <w:t>致：</w:t>
      </w:r>
      <w:r>
        <w:rPr>
          <w:rFonts w:hint="eastAsia" w:hAnsi="宋体"/>
          <w:b/>
          <w:color w:val="auto"/>
          <w:sz w:val="28"/>
          <w:szCs w:val="28"/>
          <w:highlight w:val="none"/>
          <w:lang w:eastAsia="zh-CN"/>
        </w:rPr>
        <w:t>永嘉县人民医院</w:t>
      </w:r>
    </w:p>
    <w:p>
      <w:pPr>
        <w:spacing w:line="480" w:lineRule="auto"/>
        <w:ind w:left="315" w:leftChars="150"/>
        <w:rPr>
          <w:color w:val="auto"/>
          <w:sz w:val="28"/>
          <w:szCs w:val="28"/>
          <w:highlight w:val="none"/>
        </w:rPr>
      </w:pPr>
    </w:p>
    <w:p>
      <w:pPr>
        <w:spacing w:line="480" w:lineRule="auto"/>
        <w:ind w:firstLine="140" w:firstLineChars="50"/>
        <w:rPr>
          <w:color w:val="auto"/>
          <w:sz w:val="28"/>
          <w:szCs w:val="28"/>
          <w:highlight w:val="none"/>
        </w:rPr>
      </w:pPr>
      <w:r>
        <w:rPr>
          <w:rFonts w:hint="eastAsia" w:hAnsi="宋体"/>
          <w:color w:val="auto"/>
          <w:sz w:val="28"/>
          <w:szCs w:val="28"/>
          <w:highlight w:val="none"/>
          <w:u w:val="single"/>
          <w:lang w:val="en-US" w:eastAsia="zh-CN"/>
        </w:rPr>
        <w:t xml:space="preserve">         </w:t>
      </w:r>
      <w:r>
        <w:rPr>
          <w:rFonts w:hAnsi="宋体"/>
          <w:color w:val="auto"/>
          <w:sz w:val="28"/>
          <w:szCs w:val="28"/>
          <w:highlight w:val="none"/>
        </w:rPr>
        <w:t>法定代表人</w:t>
      </w:r>
      <w:r>
        <w:rPr>
          <w:rFonts w:hint="eastAsia" w:hAnsi="宋体"/>
          <w:color w:val="auto"/>
          <w:sz w:val="28"/>
          <w:szCs w:val="28"/>
          <w:highlight w:val="none"/>
          <w:u w:val="single"/>
          <w:lang w:val="en-US" w:eastAsia="zh-CN"/>
        </w:rPr>
        <w:t xml:space="preserve">     </w:t>
      </w:r>
      <w:r>
        <w:rPr>
          <w:rFonts w:hAnsi="宋体"/>
          <w:color w:val="auto"/>
          <w:sz w:val="28"/>
          <w:szCs w:val="28"/>
          <w:highlight w:val="none"/>
        </w:rPr>
        <w:t>授权为</w:t>
      </w:r>
      <w:r>
        <w:rPr>
          <w:rFonts w:hint="eastAsia" w:hAnsi="宋体"/>
          <w:color w:val="auto"/>
          <w:sz w:val="28"/>
          <w:szCs w:val="28"/>
          <w:highlight w:val="none"/>
          <w:u w:val="single"/>
          <w:lang w:val="en-US" w:eastAsia="zh-CN"/>
        </w:rPr>
        <w:t xml:space="preserve">     </w:t>
      </w:r>
      <w:r>
        <w:rPr>
          <w:rFonts w:hAnsi="宋体"/>
          <w:color w:val="auto"/>
          <w:sz w:val="28"/>
          <w:szCs w:val="28"/>
          <w:highlight w:val="none"/>
        </w:rPr>
        <w:t>全权代表，参加</w:t>
      </w:r>
      <w:r>
        <w:rPr>
          <w:rFonts w:hint="eastAsia" w:hAnsi="宋体"/>
          <w:color w:val="auto"/>
          <w:sz w:val="28"/>
          <w:szCs w:val="28"/>
          <w:highlight w:val="none"/>
        </w:rPr>
        <w:t>贵方组织的</w:t>
      </w:r>
      <w:r>
        <w:rPr>
          <w:rFonts w:hint="eastAsia" w:hAnsi="宋体"/>
          <w:color w:val="auto"/>
          <w:sz w:val="28"/>
          <w:szCs w:val="28"/>
          <w:highlight w:val="none"/>
        </w:rPr>
        <w:t>永嘉县医疗卫生服务能力保障提升项目（人民医院迁建工程）招标代理机构遴选</w:t>
      </w:r>
      <w:r>
        <w:rPr>
          <w:rFonts w:hAnsi="宋体"/>
          <w:color w:val="auto"/>
          <w:sz w:val="28"/>
          <w:szCs w:val="28"/>
          <w:highlight w:val="none"/>
        </w:rPr>
        <w:t>，其在</w:t>
      </w:r>
      <w:r>
        <w:rPr>
          <w:rFonts w:hint="eastAsia" w:hAnsi="宋体"/>
          <w:color w:val="auto"/>
          <w:sz w:val="28"/>
          <w:szCs w:val="28"/>
          <w:highlight w:val="none"/>
        </w:rPr>
        <w:t>遴选</w:t>
      </w:r>
      <w:r>
        <w:rPr>
          <w:rFonts w:hAnsi="宋体"/>
          <w:color w:val="auto"/>
          <w:sz w:val="28"/>
          <w:szCs w:val="28"/>
          <w:highlight w:val="none"/>
        </w:rPr>
        <w:t>中的一切活动本公司均予承认。</w:t>
      </w:r>
    </w:p>
    <w:p>
      <w:pPr>
        <w:spacing w:line="480" w:lineRule="auto"/>
        <w:ind w:left="150"/>
        <w:jc w:val="center"/>
        <w:rPr>
          <w:color w:val="auto"/>
          <w:sz w:val="28"/>
          <w:szCs w:val="28"/>
          <w:highlight w:val="none"/>
        </w:rPr>
      </w:pPr>
    </w:p>
    <w:p>
      <w:pPr>
        <w:spacing w:line="480" w:lineRule="auto"/>
        <w:ind w:left="150"/>
        <w:jc w:val="center"/>
        <w:rPr>
          <w:color w:val="auto"/>
          <w:sz w:val="28"/>
          <w:szCs w:val="28"/>
          <w:highlight w:val="none"/>
        </w:rPr>
      </w:pPr>
    </w:p>
    <w:p>
      <w:pPr>
        <w:spacing w:line="480" w:lineRule="auto"/>
        <w:ind w:left="150"/>
        <w:jc w:val="center"/>
        <w:rPr>
          <w:color w:val="auto"/>
          <w:sz w:val="28"/>
          <w:szCs w:val="28"/>
          <w:highlight w:val="none"/>
        </w:rPr>
      </w:pPr>
    </w:p>
    <w:p>
      <w:pPr>
        <w:spacing w:line="480" w:lineRule="auto"/>
        <w:ind w:left="150"/>
        <w:jc w:val="center"/>
        <w:rPr>
          <w:color w:val="auto"/>
          <w:sz w:val="28"/>
          <w:szCs w:val="28"/>
          <w:highlight w:val="none"/>
          <w:u w:val="single"/>
        </w:rPr>
      </w:pPr>
      <w:r>
        <w:rPr>
          <w:rFonts w:hAnsi="宋体"/>
          <w:color w:val="auto"/>
          <w:sz w:val="28"/>
          <w:szCs w:val="28"/>
          <w:highlight w:val="none"/>
        </w:rPr>
        <w:t>法定代表人签字：</w:t>
      </w:r>
    </w:p>
    <w:p>
      <w:pPr>
        <w:spacing w:line="480" w:lineRule="auto"/>
        <w:ind w:firstLine="3080" w:firstLineChars="1100"/>
        <w:jc w:val="both"/>
        <w:rPr>
          <w:color w:val="auto"/>
          <w:sz w:val="28"/>
          <w:szCs w:val="28"/>
          <w:highlight w:val="none"/>
        </w:rPr>
      </w:pPr>
      <w:r>
        <w:rPr>
          <w:rFonts w:hAnsi="宋体"/>
          <w:color w:val="auto"/>
          <w:sz w:val="28"/>
          <w:szCs w:val="28"/>
          <w:highlight w:val="none"/>
        </w:rPr>
        <w:t>单位公章：</w:t>
      </w:r>
    </w:p>
    <w:p>
      <w:pPr>
        <w:spacing w:line="480" w:lineRule="auto"/>
        <w:ind w:left="150"/>
        <w:jc w:val="center"/>
        <w:rPr>
          <w:color w:val="auto"/>
          <w:highlight w:val="none"/>
        </w:rPr>
      </w:pPr>
      <w:r>
        <w:rPr>
          <w:rFonts w:hint="eastAsia" w:hAnsi="宋体"/>
          <w:color w:val="auto"/>
          <w:sz w:val="28"/>
          <w:szCs w:val="28"/>
          <w:highlight w:val="none"/>
          <w:lang w:val="en-US" w:eastAsia="zh-CN"/>
        </w:rPr>
        <w:t xml:space="preserve">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时间：</w:t>
      </w:r>
      <w:r>
        <w:rPr>
          <w:rFonts w:hint="eastAsia" w:ascii="宋体" w:hAnsi="宋体" w:eastAsia="宋体" w:cs="宋体"/>
          <w:color w:val="auto"/>
          <w:sz w:val="28"/>
          <w:szCs w:val="28"/>
          <w:highlight w:val="none"/>
          <w:u w:val="single"/>
        </w:rPr>
        <w:t>2022年X月XX</w:t>
      </w:r>
      <w:r>
        <w:rPr>
          <w:rFonts w:hint="eastAsia" w:ascii="宋体" w:hAnsi="宋体" w:eastAsia="宋体" w:cs="宋体"/>
          <w:color w:val="auto"/>
          <w:sz w:val="28"/>
          <w:szCs w:val="28"/>
          <w:highlight w:val="none"/>
        </w:rPr>
        <w:t>日</w:t>
      </w:r>
    </w:p>
    <w:p>
      <w:pPr>
        <w:rPr>
          <w:color w:val="auto"/>
          <w:highlight w:val="none"/>
        </w:rPr>
      </w:pPr>
    </w:p>
    <w:sectPr>
      <w:footerReference r:id="rId3" w:type="default"/>
      <w:footerReference r:id="rId4" w:type="even"/>
      <w:pgSz w:w="11906" w:h="16838"/>
      <w:pgMar w:top="1418" w:right="1797" w:bottom="1418"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2899EC"/>
    <w:multiLevelType w:val="singleLevel"/>
    <w:tmpl w:val="A52899EC"/>
    <w:lvl w:ilvl="0" w:tentative="0">
      <w:start w:val="1"/>
      <w:numFmt w:val="decimal"/>
      <w:suff w:val="nothing"/>
      <w:lvlText w:val="%1、"/>
      <w:lvlJc w:val="left"/>
    </w:lvl>
  </w:abstractNum>
  <w:abstractNum w:abstractNumId="1">
    <w:nsid w:val="FD53B603"/>
    <w:multiLevelType w:val="singleLevel"/>
    <w:tmpl w:val="FD53B603"/>
    <w:lvl w:ilvl="0" w:tentative="0">
      <w:start w:val="1"/>
      <w:numFmt w:val="decimal"/>
      <w:lvlText w:val="%1."/>
      <w:lvlJc w:val="left"/>
      <w:pPr>
        <w:ind w:left="425" w:hanging="425"/>
      </w:pPr>
      <w:rPr>
        <w:rFonts w:hint="default"/>
      </w:rPr>
    </w:lvl>
  </w:abstractNum>
  <w:abstractNum w:abstractNumId="2">
    <w:nsid w:val="77B13DA3"/>
    <w:multiLevelType w:val="singleLevel"/>
    <w:tmpl w:val="77B13DA3"/>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kNWUxYTU4YjFiMmQ3YjJiN2UwNGEwYjZjZjRjNDUifQ=="/>
  </w:docVars>
  <w:rsids>
    <w:rsidRoot w:val="005739BB"/>
    <w:rsid w:val="00046553"/>
    <w:rsid w:val="00214D54"/>
    <w:rsid w:val="002B7E26"/>
    <w:rsid w:val="0047766C"/>
    <w:rsid w:val="005739BB"/>
    <w:rsid w:val="005B7B10"/>
    <w:rsid w:val="00606CE0"/>
    <w:rsid w:val="006215D1"/>
    <w:rsid w:val="00663AA0"/>
    <w:rsid w:val="006C4127"/>
    <w:rsid w:val="006C708B"/>
    <w:rsid w:val="006E71B0"/>
    <w:rsid w:val="006F0572"/>
    <w:rsid w:val="00733754"/>
    <w:rsid w:val="00795A86"/>
    <w:rsid w:val="007C65A6"/>
    <w:rsid w:val="007D616B"/>
    <w:rsid w:val="00802BAE"/>
    <w:rsid w:val="00853F32"/>
    <w:rsid w:val="008E7A15"/>
    <w:rsid w:val="0092626A"/>
    <w:rsid w:val="00A367B5"/>
    <w:rsid w:val="00A6461F"/>
    <w:rsid w:val="00BB7F52"/>
    <w:rsid w:val="00C22E64"/>
    <w:rsid w:val="00C47788"/>
    <w:rsid w:val="00D17E1E"/>
    <w:rsid w:val="00D277F6"/>
    <w:rsid w:val="00D77D1D"/>
    <w:rsid w:val="00E02CEA"/>
    <w:rsid w:val="00E15F22"/>
    <w:rsid w:val="00EF0BCA"/>
    <w:rsid w:val="00F50FEE"/>
    <w:rsid w:val="00F779EC"/>
    <w:rsid w:val="00F81D78"/>
    <w:rsid w:val="00FF0DCE"/>
    <w:rsid w:val="00FF73AB"/>
    <w:rsid w:val="02704AC1"/>
    <w:rsid w:val="039C63FC"/>
    <w:rsid w:val="04094FA1"/>
    <w:rsid w:val="04EB3546"/>
    <w:rsid w:val="04F0619A"/>
    <w:rsid w:val="059F7C3A"/>
    <w:rsid w:val="0752118F"/>
    <w:rsid w:val="07692C83"/>
    <w:rsid w:val="07C02047"/>
    <w:rsid w:val="07DF770C"/>
    <w:rsid w:val="08C16076"/>
    <w:rsid w:val="0AD950EC"/>
    <w:rsid w:val="0B0F590D"/>
    <w:rsid w:val="0BFC66C8"/>
    <w:rsid w:val="0DCF5F7A"/>
    <w:rsid w:val="0E2055ED"/>
    <w:rsid w:val="0E360105"/>
    <w:rsid w:val="0E802CFD"/>
    <w:rsid w:val="0F6759A3"/>
    <w:rsid w:val="107C6A68"/>
    <w:rsid w:val="10E032A6"/>
    <w:rsid w:val="10ED1936"/>
    <w:rsid w:val="11706D17"/>
    <w:rsid w:val="11C664AC"/>
    <w:rsid w:val="137E24B4"/>
    <w:rsid w:val="13A40F9B"/>
    <w:rsid w:val="155B33AF"/>
    <w:rsid w:val="160E6673"/>
    <w:rsid w:val="174A7237"/>
    <w:rsid w:val="18036E1A"/>
    <w:rsid w:val="182B47C5"/>
    <w:rsid w:val="1A540889"/>
    <w:rsid w:val="1AC83294"/>
    <w:rsid w:val="1B4541A8"/>
    <w:rsid w:val="1BCD48DA"/>
    <w:rsid w:val="1C4921B3"/>
    <w:rsid w:val="1D230C56"/>
    <w:rsid w:val="1DE968C4"/>
    <w:rsid w:val="202C6073"/>
    <w:rsid w:val="207812B9"/>
    <w:rsid w:val="20804355"/>
    <w:rsid w:val="23C860B3"/>
    <w:rsid w:val="24276F2B"/>
    <w:rsid w:val="272E0923"/>
    <w:rsid w:val="286C43AC"/>
    <w:rsid w:val="28CE4954"/>
    <w:rsid w:val="29622B06"/>
    <w:rsid w:val="2A41096D"/>
    <w:rsid w:val="2C054755"/>
    <w:rsid w:val="2C312558"/>
    <w:rsid w:val="2EBD433B"/>
    <w:rsid w:val="2F2F2A76"/>
    <w:rsid w:val="2F3B20D1"/>
    <w:rsid w:val="2F937FAD"/>
    <w:rsid w:val="30C74C5B"/>
    <w:rsid w:val="31973569"/>
    <w:rsid w:val="325154C6"/>
    <w:rsid w:val="326C0551"/>
    <w:rsid w:val="32D54349"/>
    <w:rsid w:val="33210BEA"/>
    <w:rsid w:val="33A04957"/>
    <w:rsid w:val="34DB48B8"/>
    <w:rsid w:val="3592207D"/>
    <w:rsid w:val="36FD79CA"/>
    <w:rsid w:val="371C3702"/>
    <w:rsid w:val="38F66DC7"/>
    <w:rsid w:val="39E66E3B"/>
    <w:rsid w:val="39EB26A4"/>
    <w:rsid w:val="3AEF7479"/>
    <w:rsid w:val="3B9C3C56"/>
    <w:rsid w:val="3DFE0BF8"/>
    <w:rsid w:val="3E2B6F65"/>
    <w:rsid w:val="3ED558B9"/>
    <w:rsid w:val="3F47037C"/>
    <w:rsid w:val="3FFD5B89"/>
    <w:rsid w:val="40804C79"/>
    <w:rsid w:val="409F5F96"/>
    <w:rsid w:val="40A715AE"/>
    <w:rsid w:val="415154E2"/>
    <w:rsid w:val="42C341BE"/>
    <w:rsid w:val="431B3A08"/>
    <w:rsid w:val="436B3057"/>
    <w:rsid w:val="43931DE2"/>
    <w:rsid w:val="44953938"/>
    <w:rsid w:val="44FE772F"/>
    <w:rsid w:val="455940BA"/>
    <w:rsid w:val="456930AB"/>
    <w:rsid w:val="45CA5863"/>
    <w:rsid w:val="4661343D"/>
    <w:rsid w:val="47176170"/>
    <w:rsid w:val="472D19D2"/>
    <w:rsid w:val="4A1277D9"/>
    <w:rsid w:val="4ACD7FAB"/>
    <w:rsid w:val="4AEA29EB"/>
    <w:rsid w:val="4E762533"/>
    <w:rsid w:val="4E9D56D9"/>
    <w:rsid w:val="4FE23DCA"/>
    <w:rsid w:val="4FF57980"/>
    <w:rsid w:val="511507B9"/>
    <w:rsid w:val="51A8134F"/>
    <w:rsid w:val="53171124"/>
    <w:rsid w:val="54684BC5"/>
    <w:rsid w:val="54715C90"/>
    <w:rsid w:val="549D17C5"/>
    <w:rsid w:val="550D751A"/>
    <w:rsid w:val="567C3611"/>
    <w:rsid w:val="58093C26"/>
    <w:rsid w:val="581D5CC6"/>
    <w:rsid w:val="58584F50"/>
    <w:rsid w:val="58DC16DE"/>
    <w:rsid w:val="593F4E03"/>
    <w:rsid w:val="59B77687"/>
    <w:rsid w:val="59D6437F"/>
    <w:rsid w:val="59D94802"/>
    <w:rsid w:val="5A45359F"/>
    <w:rsid w:val="5A47527D"/>
    <w:rsid w:val="5A694B77"/>
    <w:rsid w:val="5AFC6067"/>
    <w:rsid w:val="5B9E711E"/>
    <w:rsid w:val="5CCB3F43"/>
    <w:rsid w:val="5D7A5C74"/>
    <w:rsid w:val="5ED56FB5"/>
    <w:rsid w:val="5F7C7431"/>
    <w:rsid w:val="5F7F4049"/>
    <w:rsid w:val="5FCA16C0"/>
    <w:rsid w:val="5FCA68B8"/>
    <w:rsid w:val="63453CB5"/>
    <w:rsid w:val="644B7717"/>
    <w:rsid w:val="64C71494"/>
    <w:rsid w:val="64FC19BE"/>
    <w:rsid w:val="657809E0"/>
    <w:rsid w:val="66AD290B"/>
    <w:rsid w:val="675039C2"/>
    <w:rsid w:val="68A87665"/>
    <w:rsid w:val="693D7F76"/>
    <w:rsid w:val="694D1556"/>
    <w:rsid w:val="6AB1524B"/>
    <w:rsid w:val="6BEE346B"/>
    <w:rsid w:val="6C9205D9"/>
    <w:rsid w:val="6EEE240F"/>
    <w:rsid w:val="6FC84312"/>
    <w:rsid w:val="701D465E"/>
    <w:rsid w:val="70D95C27"/>
    <w:rsid w:val="72EE5E3E"/>
    <w:rsid w:val="733F1246"/>
    <w:rsid w:val="761A519B"/>
    <w:rsid w:val="763D7808"/>
    <w:rsid w:val="7688380A"/>
    <w:rsid w:val="791C78FC"/>
    <w:rsid w:val="79554E68"/>
    <w:rsid w:val="79A5418B"/>
    <w:rsid w:val="7AE109F2"/>
    <w:rsid w:val="7B7D06A6"/>
    <w:rsid w:val="7B89704B"/>
    <w:rsid w:val="7BF7A8F0"/>
    <w:rsid w:val="7C1F5E30"/>
    <w:rsid w:val="7CED7EAB"/>
    <w:rsid w:val="7D7E4647"/>
    <w:rsid w:val="7E804820"/>
    <w:rsid w:val="7EC531C6"/>
    <w:rsid w:val="FFFE43E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w:basedOn w:val="2"/>
    <w:next w:val="4"/>
    <w:qFormat/>
    <w:uiPriority w:val="0"/>
    <w:pPr>
      <w:spacing w:after="120"/>
      <w:ind w:firstLine="420" w:firstLineChars="100"/>
    </w:pPr>
    <w:rPr>
      <w:rFonts w:ascii="Arial" w:hAnsi="Arial"/>
    </w:rPr>
  </w:style>
  <w:style w:type="paragraph" w:styleId="4">
    <w:name w:val="toc 6"/>
    <w:basedOn w:val="1"/>
    <w:next w:val="1"/>
    <w:semiHidden/>
    <w:qFormat/>
    <w:uiPriority w:val="0"/>
    <w:pPr>
      <w:ind w:left="1050"/>
      <w:jc w:val="left"/>
    </w:pPr>
    <w:rPr>
      <w:sz w:val="18"/>
      <w:szCs w:val="18"/>
    </w:rPr>
  </w:style>
  <w:style w:type="paragraph" w:styleId="6">
    <w:name w:val="Plain Text"/>
    <w:basedOn w:val="1"/>
    <w:link w:val="16"/>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7">
    <w:name w:val="Date"/>
    <w:basedOn w:val="1"/>
    <w:next w:val="1"/>
    <w:link w:val="17"/>
    <w:qFormat/>
    <w:uiPriority w:val="0"/>
    <w:pPr>
      <w:ind w:left="100" w:leftChars="2500"/>
    </w:pPr>
    <w:rPr>
      <w:rFonts w:ascii="仿宋_GB2312" w:eastAsia="仿宋_GB2312"/>
      <w:b/>
      <w:sz w:val="36"/>
      <w:szCs w:val="36"/>
    </w:rPr>
  </w:style>
  <w:style w:type="paragraph" w:styleId="8">
    <w:name w:val="Balloon Text"/>
    <w:basedOn w:val="1"/>
    <w:link w:val="21"/>
    <w:semiHidden/>
    <w:unhideWhenUsed/>
    <w:qFormat/>
    <w:uiPriority w:val="99"/>
    <w:rPr>
      <w:sz w:val="18"/>
      <w:szCs w:val="1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character" w:styleId="14">
    <w:name w:val="page number"/>
    <w:basedOn w:val="13"/>
    <w:qFormat/>
    <w:uiPriority w:val="0"/>
  </w:style>
  <w:style w:type="character" w:styleId="15">
    <w:name w:val="Hyperlink"/>
    <w:qFormat/>
    <w:uiPriority w:val="0"/>
    <w:rPr>
      <w:rFonts w:eastAsia="仿宋_GB2312"/>
      <w:bCs/>
    </w:rPr>
  </w:style>
  <w:style w:type="character" w:customStyle="1" w:styleId="16">
    <w:name w:val="纯文本 字符"/>
    <w:basedOn w:val="13"/>
    <w:link w:val="6"/>
    <w:qFormat/>
    <w:uiPriority w:val="0"/>
    <w:rPr>
      <w:rFonts w:ascii="宋体" w:hAnsi="Courier New" w:eastAsia="宋体" w:cs="Times New Roman"/>
      <w:kern w:val="0"/>
      <w:szCs w:val="20"/>
    </w:rPr>
  </w:style>
  <w:style w:type="character" w:customStyle="1" w:styleId="17">
    <w:name w:val="日期 字符"/>
    <w:basedOn w:val="13"/>
    <w:link w:val="7"/>
    <w:qFormat/>
    <w:uiPriority w:val="0"/>
    <w:rPr>
      <w:rFonts w:ascii="仿宋_GB2312" w:hAnsi="Times New Roman" w:eastAsia="仿宋_GB2312" w:cs="Times New Roman"/>
      <w:b/>
      <w:sz w:val="36"/>
      <w:szCs w:val="36"/>
    </w:rPr>
  </w:style>
  <w:style w:type="character" w:customStyle="1" w:styleId="18">
    <w:name w:val="页脚 字符"/>
    <w:basedOn w:val="13"/>
    <w:link w:val="9"/>
    <w:qFormat/>
    <w:uiPriority w:val="0"/>
    <w:rPr>
      <w:rFonts w:ascii="Times New Roman" w:hAnsi="Times New Roman" w:eastAsia="宋体" w:cs="Times New Roman"/>
      <w:sz w:val="18"/>
      <w:szCs w:val="18"/>
    </w:rPr>
  </w:style>
  <w:style w:type="character" w:customStyle="1" w:styleId="19">
    <w:name w:val="large1"/>
    <w:qFormat/>
    <w:uiPriority w:val="0"/>
    <w:rPr>
      <w:rFonts w:hint="eastAsia" w:ascii="宋体" w:hAnsi="宋体" w:eastAsia="宋体"/>
      <w:sz w:val="21"/>
      <w:szCs w:val="21"/>
    </w:rPr>
  </w:style>
  <w:style w:type="character" w:customStyle="1" w:styleId="20">
    <w:name w:val="NormalCharacter"/>
    <w:semiHidden/>
    <w:qFormat/>
    <w:uiPriority w:val="0"/>
  </w:style>
  <w:style w:type="character" w:customStyle="1" w:styleId="21">
    <w:name w:val="批注框文本 字符"/>
    <w:basedOn w:val="13"/>
    <w:link w:val="8"/>
    <w:semiHidden/>
    <w:qFormat/>
    <w:uiPriority w:val="99"/>
    <w:rPr>
      <w:rFonts w:ascii="Times New Roman" w:hAnsi="Times New Roman" w:eastAsia="宋体" w:cs="Times New Roman"/>
      <w:sz w:val="18"/>
      <w:szCs w:val="18"/>
    </w:rPr>
  </w:style>
  <w:style w:type="character" w:customStyle="1" w:styleId="22">
    <w:name w:val="页眉 字符"/>
    <w:basedOn w:val="13"/>
    <w:link w:val="10"/>
    <w:semiHidden/>
    <w:qFormat/>
    <w:uiPriority w:val="99"/>
    <w:rPr>
      <w:rFonts w:ascii="Times New Roman" w:hAnsi="Times New Roman" w:eastAsia="宋体" w:cs="Times New Roman"/>
      <w:sz w:val="18"/>
      <w:szCs w:val="18"/>
    </w:rPr>
  </w:style>
  <w:style w:type="table" w:customStyle="1" w:styleId="23">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8794</Words>
  <Characters>9218</Characters>
  <Lines>1</Lines>
  <Paragraphs>1</Paragraphs>
  <TotalTime>15</TotalTime>
  <ScaleCrop>false</ScaleCrop>
  <LinksUpToDate>false</LinksUpToDate>
  <CharactersWithSpaces>9448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2022-02-26T00:03:00Z</dcterms:created>
  <dc:creator>lyy</dc:creator>
  <cp:lastModifiedBy>Administrator</cp:lastModifiedBy>
  <cp:lastPrinted>2022-02-26T00:06:00Z</cp:lastPrinted>
  <dcterms:modified xsi:type="dcterms:W3CDTF">2022-06-17T08:18:20Z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C4880214153E46CAA3A1191082DF2EDD</vt:lpwstr>
  </property>
</Properties>
</file>